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Lines="100" w:afterLines="100" w:line="460" w:lineRule="exact"/>
        <w:rPr>
          <w:rFonts w:hAnsi="Times New Roman"/>
          <w:color w:val="auto"/>
          <w:szCs w:val="44"/>
        </w:rPr>
      </w:pPr>
      <w:r>
        <w:rPr>
          <w:rFonts w:hint="eastAsia" w:hAnsi="Times New Roman"/>
          <w:color w:val="auto"/>
          <w:szCs w:val="44"/>
        </w:rPr>
        <w:t>北京市朝阳区太阳宫地区办事处</w:t>
      </w:r>
    </w:p>
    <w:p>
      <w:pPr>
        <w:pStyle w:val="3"/>
        <w:adjustRightInd w:val="0"/>
        <w:snapToGrid w:val="0"/>
        <w:spacing w:beforeLines="100" w:afterLines="100" w:line="460" w:lineRule="exact"/>
        <w:ind w:left="840"/>
        <w:jc w:val="both"/>
        <w:rPr>
          <w:rFonts w:hAnsi="Times New Roman"/>
          <w:color w:val="auto"/>
          <w:szCs w:val="44"/>
          <w:u w:val="single"/>
        </w:rPr>
      </w:pPr>
      <w:r>
        <w:rPr>
          <w:rFonts w:hint="eastAsia" w:hAnsi="Times New Roman"/>
          <w:color w:val="auto"/>
          <w:szCs w:val="44"/>
        </w:rPr>
        <w:t>2020年政府信息公开工作年度报告</w:t>
      </w:r>
      <w:bookmarkStart w:id="0" w:name="OLE_LINK2"/>
      <w:bookmarkStart w:id="1" w:name="OLE_LINK1"/>
    </w:p>
    <w:p>
      <w:pPr>
        <w:widowControl/>
        <w:shd w:val="clear" w:color="auto" w:fill="FFFFFF"/>
        <w:spacing w:line="560" w:lineRule="exact"/>
        <w:ind w:firstLine="640" w:firstLineChars="200"/>
        <w:rPr>
          <w:rFonts w:eastAsia="仿宋_GB2312"/>
          <w:color w:val="333333"/>
          <w:sz w:val="32"/>
          <w:szCs w:val="32"/>
        </w:rPr>
      </w:pPr>
      <w:r>
        <w:rPr>
          <w:rFonts w:hint="eastAsia" w:eastAsia="仿宋_GB2312"/>
          <w:color w:val="333333"/>
          <w:sz w:val="32"/>
          <w:szCs w:val="32"/>
        </w:rPr>
        <w:t>依据《中华人民共和国政府信息公开条例》(以下简称《政府信息公开条例》)第五十条规定，编制本报告。</w:t>
      </w:r>
    </w:p>
    <w:p>
      <w:pPr>
        <w:widowControl/>
        <w:shd w:val="clear" w:color="auto" w:fill="FFFFFF"/>
        <w:spacing w:line="560" w:lineRule="exact"/>
        <w:ind w:firstLine="480"/>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一、总体情况</w:t>
      </w:r>
    </w:p>
    <w:p>
      <w:pPr>
        <w:spacing w:line="560" w:lineRule="exact"/>
        <w:ind w:firstLine="640" w:firstLineChars="200"/>
        <w:rPr>
          <w:rFonts w:eastAsia="仿宋_GB2312"/>
          <w:color w:val="333333"/>
          <w:sz w:val="32"/>
          <w:szCs w:val="32"/>
        </w:rPr>
      </w:pPr>
      <w:r>
        <w:rPr>
          <w:rFonts w:eastAsia="仿宋_GB2312"/>
          <w:color w:val="333333"/>
          <w:sz w:val="32"/>
          <w:szCs w:val="32"/>
        </w:rPr>
        <w:t>20</w:t>
      </w:r>
      <w:r>
        <w:rPr>
          <w:rFonts w:hint="eastAsia" w:eastAsia="仿宋_GB2312"/>
          <w:color w:val="333333"/>
          <w:sz w:val="32"/>
          <w:szCs w:val="32"/>
        </w:rPr>
        <w:t>20</w:t>
      </w:r>
      <w:r>
        <w:rPr>
          <w:rFonts w:eastAsia="仿宋_GB2312"/>
          <w:color w:val="333333"/>
          <w:sz w:val="32"/>
          <w:szCs w:val="32"/>
        </w:rPr>
        <w:t>年，我地区</w:t>
      </w:r>
      <w:r>
        <w:rPr>
          <w:rFonts w:hint="eastAsia" w:eastAsia="仿宋_GB2312"/>
          <w:color w:val="333333"/>
          <w:sz w:val="32"/>
          <w:szCs w:val="32"/>
        </w:rPr>
        <w:t>按照政务公开和政府信息公开的要求，深入</w:t>
      </w:r>
      <w:r>
        <w:rPr>
          <w:rFonts w:eastAsia="仿宋_GB2312"/>
          <w:color w:val="333333"/>
          <w:sz w:val="32"/>
          <w:szCs w:val="32"/>
        </w:rPr>
        <w:t>贯彻落实《中华人民共和国政府信息公开条例》，</w:t>
      </w:r>
      <w:r>
        <w:rPr>
          <w:rFonts w:hint="eastAsia" w:eastAsia="仿宋_GB2312"/>
          <w:color w:val="333333"/>
          <w:sz w:val="32"/>
          <w:szCs w:val="32"/>
        </w:rPr>
        <w:t>广泛接受社会和人民群众的监督，强化组织领导，拓宽公开渠道，深化公开内容，加大公开力度，有力有序推进政府信息公开工作，圆满完成了各项工作任务。</w:t>
      </w:r>
    </w:p>
    <w:p>
      <w:pPr>
        <w:widowControl/>
        <w:spacing w:line="560" w:lineRule="exact"/>
        <w:ind w:firstLine="643" w:firstLineChars="200"/>
        <w:rPr>
          <w:rFonts w:eastAsia="楷体_GB2312"/>
          <w:b/>
          <w:color w:val="000000"/>
          <w:kern w:val="0"/>
          <w:sz w:val="32"/>
          <w:szCs w:val="32"/>
        </w:rPr>
      </w:pPr>
      <w:r>
        <w:rPr>
          <w:rFonts w:hint="eastAsia" w:eastAsia="楷体_GB2312"/>
          <w:b/>
          <w:color w:val="000000"/>
          <w:kern w:val="0"/>
          <w:sz w:val="32"/>
          <w:szCs w:val="32"/>
        </w:rPr>
        <w:t>1</w:t>
      </w:r>
      <w:r>
        <w:rPr>
          <w:rFonts w:eastAsia="楷体_GB2312"/>
          <w:b/>
          <w:color w:val="000000"/>
          <w:kern w:val="0"/>
          <w:sz w:val="32"/>
          <w:szCs w:val="32"/>
        </w:rPr>
        <w:t>、主动公开</w:t>
      </w:r>
      <w:r>
        <w:rPr>
          <w:rFonts w:hint="eastAsia" w:eastAsia="楷体_GB2312"/>
          <w:b/>
          <w:color w:val="000000"/>
          <w:kern w:val="0"/>
          <w:sz w:val="32"/>
          <w:szCs w:val="32"/>
        </w:rPr>
        <w:t>信息，提高政府工作透明度</w:t>
      </w:r>
    </w:p>
    <w:p>
      <w:pPr>
        <w:widowControl/>
        <w:spacing w:line="560" w:lineRule="exact"/>
        <w:ind w:firstLine="640" w:firstLineChars="200"/>
        <w:rPr>
          <w:rFonts w:eastAsia="仿宋_GB2312"/>
          <w:color w:val="000000"/>
          <w:kern w:val="0"/>
          <w:sz w:val="32"/>
          <w:szCs w:val="32"/>
        </w:rPr>
      </w:pPr>
      <w:r>
        <w:rPr>
          <w:rFonts w:eastAsia="仿宋_GB2312"/>
          <w:color w:val="000000"/>
          <w:kern w:val="0"/>
          <w:sz w:val="32"/>
          <w:szCs w:val="32"/>
        </w:rPr>
        <w:t>本地区20</w:t>
      </w:r>
      <w:r>
        <w:rPr>
          <w:rFonts w:hint="eastAsia" w:eastAsia="仿宋_GB2312"/>
          <w:color w:val="000000"/>
          <w:kern w:val="0"/>
          <w:sz w:val="32"/>
          <w:szCs w:val="32"/>
        </w:rPr>
        <w:t>20</w:t>
      </w:r>
      <w:r>
        <w:rPr>
          <w:rFonts w:eastAsia="仿宋_GB2312"/>
          <w:kern w:val="0"/>
          <w:sz w:val="32"/>
          <w:szCs w:val="32"/>
        </w:rPr>
        <w:t>年共主动公开政府信息</w:t>
      </w:r>
      <w:r>
        <w:rPr>
          <w:rFonts w:hint="eastAsia" w:eastAsia="仿宋_GB2312"/>
          <w:color w:val="000000"/>
          <w:kern w:val="0"/>
          <w:sz w:val="32"/>
          <w:szCs w:val="32"/>
        </w:rPr>
        <w:t>288</w:t>
      </w:r>
      <w:r>
        <w:rPr>
          <w:rFonts w:eastAsia="仿宋_GB2312"/>
          <w:kern w:val="0"/>
          <w:sz w:val="32"/>
          <w:szCs w:val="32"/>
        </w:rPr>
        <w:t>条，全文电子化率达</w:t>
      </w:r>
      <w:r>
        <w:rPr>
          <w:rFonts w:eastAsia="仿宋_GB2312"/>
          <w:color w:val="000000"/>
          <w:kern w:val="0"/>
          <w:sz w:val="32"/>
          <w:szCs w:val="32"/>
        </w:rPr>
        <w:t>100</w:t>
      </w:r>
      <w:r>
        <w:rPr>
          <w:rFonts w:eastAsia="仿宋_GB2312"/>
          <w:kern w:val="0"/>
          <w:sz w:val="32"/>
          <w:szCs w:val="32"/>
        </w:rPr>
        <w:t>%。其中，</w:t>
      </w:r>
      <w:r>
        <w:rPr>
          <w:rFonts w:hint="eastAsia" w:eastAsia="仿宋_GB2312"/>
          <w:color w:val="000000" w:themeColor="text1"/>
          <w:kern w:val="0"/>
          <w:sz w:val="32"/>
          <w:szCs w:val="32"/>
        </w:rPr>
        <w:t>基层动态类信息137条，</w:t>
      </w:r>
      <w:r>
        <w:rPr>
          <w:rFonts w:eastAsia="仿宋_GB2312"/>
          <w:color w:val="000000" w:themeColor="text1"/>
          <w:kern w:val="0"/>
          <w:sz w:val="32"/>
          <w:szCs w:val="32"/>
        </w:rPr>
        <w:t>占总体的比例为</w:t>
      </w:r>
      <w:r>
        <w:rPr>
          <w:rFonts w:hint="eastAsia" w:eastAsia="仿宋_GB2312"/>
          <w:color w:val="000000" w:themeColor="text1"/>
          <w:kern w:val="0"/>
          <w:sz w:val="32"/>
          <w:szCs w:val="32"/>
        </w:rPr>
        <w:t>47.57</w:t>
      </w:r>
      <w:r>
        <w:rPr>
          <w:rFonts w:eastAsia="仿宋_GB2312"/>
          <w:color w:val="000000" w:themeColor="text1"/>
          <w:kern w:val="0"/>
          <w:sz w:val="32"/>
          <w:szCs w:val="32"/>
        </w:rPr>
        <w:t>%</w:t>
      </w:r>
      <w:r>
        <w:rPr>
          <w:rFonts w:eastAsia="仿宋_GB2312"/>
          <w:color w:val="000000"/>
          <w:kern w:val="0"/>
          <w:sz w:val="32"/>
          <w:szCs w:val="32"/>
        </w:rPr>
        <w:t>，</w:t>
      </w:r>
      <w:r>
        <w:rPr>
          <w:rFonts w:hint="eastAsia" w:eastAsia="仿宋_GB2312"/>
          <w:color w:val="000000"/>
          <w:kern w:val="0"/>
          <w:sz w:val="32"/>
          <w:szCs w:val="32"/>
        </w:rPr>
        <w:t>通知公告类信息33条，</w:t>
      </w:r>
      <w:r>
        <w:rPr>
          <w:rFonts w:eastAsia="仿宋_GB2312"/>
          <w:color w:val="000000"/>
          <w:kern w:val="0"/>
          <w:sz w:val="32"/>
          <w:szCs w:val="32"/>
        </w:rPr>
        <w:t>占总体的比例为1</w:t>
      </w:r>
      <w:r>
        <w:rPr>
          <w:rFonts w:hint="eastAsia" w:eastAsia="仿宋_GB2312"/>
          <w:color w:val="000000"/>
          <w:kern w:val="0"/>
          <w:sz w:val="32"/>
          <w:szCs w:val="32"/>
        </w:rPr>
        <w:t>1.46</w:t>
      </w:r>
      <w:r>
        <w:rPr>
          <w:rFonts w:eastAsia="仿宋_GB2312"/>
          <w:color w:val="000000"/>
          <w:kern w:val="0"/>
          <w:sz w:val="32"/>
          <w:szCs w:val="32"/>
        </w:rPr>
        <w:t>%</w:t>
      </w:r>
      <w:r>
        <w:rPr>
          <w:rFonts w:hint="eastAsia" w:eastAsia="仿宋_GB2312"/>
          <w:color w:val="000000"/>
          <w:kern w:val="0"/>
          <w:sz w:val="32"/>
          <w:szCs w:val="32"/>
        </w:rPr>
        <w:t>；机构职能类信息1条，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；领导介绍类信息1条，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；机构设置类信息1条，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；财政预决算类信息2条，</w:t>
      </w:r>
      <w:r>
        <w:rPr>
          <w:rFonts w:eastAsia="仿宋_GB2312"/>
          <w:color w:val="000000"/>
          <w:kern w:val="0"/>
          <w:sz w:val="32"/>
          <w:szCs w:val="32"/>
        </w:rPr>
        <w:t>占总体的比例为</w:t>
      </w:r>
      <w:r>
        <w:rPr>
          <w:rFonts w:hint="eastAsia" w:eastAsia="仿宋_GB2312"/>
          <w:color w:val="000000"/>
          <w:kern w:val="0"/>
          <w:sz w:val="32"/>
          <w:szCs w:val="32"/>
        </w:rPr>
        <w:t>0.69</w:t>
      </w:r>
      <w:r>
        <w:rPr>
          <w:rFonts w:eastAsia="仿宋_GB2312"/>
          <w:color w:val="000000"/>
          <w:kern w:val="0"/>
          <w:sz w:val="32"/>
          <w:szCs w:val="32"/>
        </w:rPr>
        <w:t>%</w:t>
      </w:r>
      <w:r>
        <w:rPr>
          <w:rFonts w:hint="eastAsia" w:eastAsia="仿宋_GB2312"/>
          <w:color w:val="000000"/>
          <w:kern w:val="0"/>
          <w:sz w:val="32"/>
          <w:szCs w:val="32"/>
        </w:rPr>
        <w:t>；双随机一公开类信息2条，</w:t>
      </w:r>
      <w:r>
        <w:rPr>
          <w:rFonts w:eastAsia="仿宋_GB2312"/>
          <w:color w:val="000000"/>
          <w:kern w:val="0"/>
          <w:sz w:val="32"/>
          <w:szCs w:val="32"/>
        </w:rPr>
        <w:t>占总体的比例为</w:t>
      </w:r>
      <w:r>
        <w:rPr>
          <w:rFonts w:hint="eastAsia" w:eastAsia="仿宋_GB2312"/>
          <w:color w:val="000000"/>
          <w:kern w:val="0"/>
          <w:sz w:val="32"/>
          <w:szCs w:val="32"/>
        </w:rPr>
        <w:t>0.69</w:t>
      </w:r>
      <w:r>
        <w:rPr>
          <w:rFonts w:eastAsia="仿宋_GB2312"/>
          <w:color w:val="000000"/>
          <w:kern w:val="0"/>
          <w:sz w:val="32"/>
          <w:szCs w:val="32"/>
        </w:rPr>
        <w:t>%</w:t>
      </w:r>
      <w:r>
        <w:rPr>
          <w:rFonts w:hint="eastAsia" w:eastAsia="仿宋_GB2312"/>
          <w:color w:val="000000"/>
          <w:kern w:val="0"/>
          <w:sz w:val="32"/>
          <w:szCs w:val="32"/>
        </w:rPr>
        <w:t>；行政执法类信息7条，</w:t>
      </w:r>
      <w:r>
        <w:rPr>
          <w:rFonts w:eastAsia="仿宋_GB2312"/>
          <w:color w:val="000000"/>
          <w:kern w:val="0"/>
          <w:sz w:val="32"/>
          <w:szCs w:val="32"/>
        </w:rPr>
        <w:t>占总体的比例为</w:t>
      </w:r>
      <w:r>
        <w:rPr>
          <w:rFonts w:hint="eastAsia" w:eastAsia="仿宋_GB2312"/>
          <w:color w:val="000000"/>
          <w:kern w:val="0"/>
          <w:sz w:val="32"/>
          <w:szCs w:val="32"/>
        </w:rPr>
        <w:t>2.43</w:t>
      </w:r>
      <w:r>
        <w:rPr>
          <w:rFonts w:eastAsia="仿宋_GB2312"/>
          <w:color w:val="000000"/>
          <w:kern w:val="0"/>
          <w:sz w:val="32"/>
          <w:szCs w:val="32"/>
        </w:rPr>
        <w:t>%</w:t>
      </w:r>
      <w:r>
        <w:rPr>
          <w:rFonts w:hint="eastAsia" w:eastAsia="仿宋_GB2312"/>
          <w:color w:val="000000"/>
          <w:kern w:val="0"/>
          <w:sz w:val="32"/>
          <w:szCs w:val="32"/>
        </w:rPr>
        <w:t>；政府信息公开信息指南1条，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；政府信息主动公开全清单1条，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；公开信息年度报告1条，</w:t>
      </w:r>
      <w:r>
        <w:rPr>
          <w:rFonts w:eastAsia="仿宋_GB2312"/>
          <w:color w:val="000000"/>
          <w:kern w:val="0"/>
          <w:sz w:val="32"/>
          <w:szCs w:val="32"/>
        </w:rPr>
        <w:t>占总体的比例为</w:t>
      </w:r>
      <w:r>
        <w:rPr>
          <w:rFonts w:hint="eastAsia" w:eastAsia="仿宋_GB2312"/>
          <w:color w:val="000000"/>
          <w:kern w:val="0"/>
          <w:sz w:val="32"/>
          <w:szCs w:val="32"/>
        </w:rPr>
        <w:t>0.35</w:t>
      </w:r>
      <w:r>
        <w:rPr>
          <w:rFonts w:eastAsia="仿宋_GB2312"/>
          <w:color w:val="000000"/>
          <w:kern w:val="0"/>
          <w:sz w:val="32"/>
          <w:szCs w:val="32"/>
        </w:rPr>
        <w:t>%</w:t>
      </w:r>
      <w:r>
        <w:rPr>
          <w:rFonts w:hint="eastAsia" w:eastAsia="仿宋_GB2312"/>
          <w:color w:val="000000"/>
          <w:kern w:val="0"/>
          <w:sz w:val="32"/>
          <w:szCs w:val="32"/>
        </w:rPr>
        <w:t>；双公示系统行政处罚101条，</w:t>
      </w:r>
      <w:r>
        <w:rPr>
          <w:rFonts w:eastAsia="仿宋_GB2312"/>
          <w:color w:val="000000"/>
          <w:kern w:val="0"/>
          <w:sz w:val="32"/>
          <w:szCs w:val="32"/>
        </w:rPr>
        <w:t>占总体的比例为</w:t>
      </w:r>
      <w:r>
        <w:rPr>
          <w:rFonts w:hint="eastAsia" w:eastAsia="仿宋_GB2312"/>
          <w:color w:val="000000"/>
          <w:kern w:val="0"/>
          <w:sz w:val="32"/>
          <w:szCs w:val="32"/>
        </w:rPr>
        <w:t>35.06</w:t>
      </w:r>
      <w:r>
        <w:rPr>
          <w:rFonts w:eastAsia="仿宋_GB2312"/>
          <w:color w:val="000000"/>
          <w:kern w:val="0"/>
          <w:sz w:val="32"/>
          <w:szCs w:val="32"/>
        </w:rPr>
        <w:t>%</w:t>
      </w:r>
      <w:r>
        <w:rPr>
          <w:rFonts w:hint="eastAsia" w:eastAsia="仿宋_GB2312"/>
          <w:color w:val="000000"/>
          <w:kern w:val="0"/>
          <w:sz w:val="32"/>
          <w:szCs w:val="32"/>
        </w:rPr>
        <w:t>。</w:t>
      </w:r>
      <w:r>
        <w:rPr>
          <w:rFonts w:eastAsia="仿宋_GB2312"/>
          <w:color w:val="000000"/>
          <w:kern w:val="0"/>
          <w:sz w:val="32"/>
          <w:szCs w:val="32"/>
        </w:rPr>
        <w:t>提高了政府工作的透明度，保障了人民群众的知情权，为促进依法行政和建设服务型政府奠定了坚实基础。</w:t>
      </w:r>
    </w:p>
    <w:p>
      <w:pPr>
        <w:widowControl/>
        <w:spacing w:line="560" w:lineRule="exact"/>
        <w:ind w:firstLine="643" w:firstLineChars="200"/>
        <w:rPr>
          <w:rFonts w:eastAsia="楷体_GB2312"/>
          <w:b/>
          <w:color w:val="000000"/>
          <w:kern w:val="0"/>
          <w:sz w:val="32"/>
          <w:szCs w:val="32"/>
        </w:rPr>
      </w:pPr>
      <w:r>
        <w:rPr>
          <w:rFonts w:hint="eastAsia" w:eastAsia="楷体_GB2312"/>
          <w:b/>
          <w:color w:val="000000"/>
          <w:kern w:val="0"/>
          <w:sz w:val="32"/>
          <w:szCs w:val="32"/>
        </w:rPr>
        <w:t>2</w:t>
      </w:r>
      <w:r>
        <w:rPr>
          <w:rFonts w:eastAsia="楷体_GB2312"/>
          <w:b/>
          <w:color w:val="000000"/>
          <w:kern w:val="0"/>
          <w:sz w:val="32"/>
          <w:szCs w:val="32"/>
        </w:rPr>
        <w:t>、</w:t>
      </w:r>
      <w:r>
        <w:rPr>
          <w:rFonts w:hint="eastAsia" w:eastAsia="楷体_GB2312"/>
          <w:b/>
          <w:color w:val="000000"/>
          <w:kern w:val="0"/>
          <w:sz w:val="32"/>
          <w:szCs w:val="32"/>
        </w:rPr>
        <w:t>依法依规，扎实做好</w:t>
      </w:r>
      <w:r>
        <w:rPr>
          <w:rFonts w:eastAsia="楷体_GB2312"/>
          <w:b/>
          <w:color w:val="000000"/>
          <w:kern w:val="0"/>
          <w:sz w:val="32"/>
          <w:szCs w:val="32"/>
        </w:rPr>
        <w:t>依申请公开</w:t>
      </w:r>
    </w:p>
    <w:p>
      <w:pPr>
        <w:widowControl/>
        <w:spacing w:line="560" w:lineRule="exact"/>
        <w:ind w:firstLine="640" w:firstLineChars="200"/>
        <w:rPr>
          <w:rFonts w:eastAsia="仿宋_GB2312"/>
          <w:color w:val="000000"/>
          <w:kern w:val="0"/>
          <w:sz w:val="32"/>
          <w:szCs w:val="32"/>
        </w:rPr>
      </w:pPr>
      <w:r>
        <w:rPr>
          <w:rFonts w:hint="eastAsia" w:ascii="仿宋_GB2312" w:hAnsi="仿宋_GB2312" w:eastAsia="仿宋_GB2312" w:cs="仿宋_GB2312"/>
          <w:sz w:val="32"/>
          <w:szCs w:val="32"/>
        </w:rPr>
        <w:t>为进一步规范依申请公开工作，我地区加强人员培训，认真掌握《朝阳区政府信息依申请公开工作手册》</w:t>
      </w:r>
      <w:r>
        <w:rPr>
          <w:rFonts w:hint="eastAsia" w:eastAsia="仿宋_GB2312"/>
          <w:color w:val="000000"/>
          <w:kern w:val="0"/>
          <w:sz w:val="32"/>
          <w:szCs w:val="32"/>
        </w:rPr>
        <w:t>相关内容</w:t>
      </w:r>
      <w:r>
        <w:rPr>
          <w:rFonts w:hint="eastAsia" w:ascii="仿宋_GB2312" w:hAnsi="仿宋_GB2312" w:eastAsia="仿宋_GB2312" w:cs="仿宋_GB2312"/>
          <w:sz w:val="32"/>
          <w:szCs w:val="32"/>
        </w:rPr>
        <w:t>，做到知法懂法，业务熟练，所有申请都能按照规定程序和要求及时答复申请人。</w:t>
      </w:r>
      <w:r>
        <w:rPr>
          <w:rFonts w:eastAsia="仿宋_GB2312"/>
          <w:color w:val="000000"/>
          <w:kern w:val="0"/>
          <w:sz w:val="32"/>
          <w:szCs w:val="32"/>
        </w:rPr>
        <w:t>本地区20</w:t>
      </w:r>
      <w:r>
        <w:rPr>
          <w:rFonts w:hint="eastAsia" w:eastAsia="仿宋_GB2312"/>
          <w:color w:val="000000"/>
          <w:kern w:val="0"/>
          <w:sz w:val="32"/>
          <w:szCs w:val="32"/>
        </w:rPr>
        <w:t>20</w:t>
      </w:r>
      <w:r>
        <w:rPr>
          <w:rFonts w:eastAsia="仿宋_GB2312"/>
          <w:color w:val="000000"/>
          <w:kern w:val="0"/>
          <w:sz w:val="32"/>
          <w:szCs w:val="32"/>
        </w:rPr>
        <w:t>年度共收到政府信息公开申请</w:t>
      </w:r>
      <w:r>
        <w:rPr>
          <w:rFonts w:hint="eastAsia" w:eastAsia="仿宋_GB2312"/>
          <w:color w:val="000000"/>
          <w:kern w:val="0"/>
          <w:sz w:val="32"/>
          <w:szCs w:val="32"/>
        </w:rPr>
        <w:t>5</w:t>
      </w:r>
      <w:r>
        <w:rPr>
          <w:rFonts w:eastAsia="仿宋_GB2312"/>
          <w:color w:val="000000"/>
          <w:kern w:val="0"/>
          <w:sz w:val="32"/>
          <w:szCs w:val="32"/>
        </w:rPr>
        <w:t>件</w:t>
      </w:r>
      <w:r>
        <w:rPr>
          <w:rFonts w:hint="eastAsia" w:eastAsia="仿宋_GB2312"/>
          <w:color w:val="000000"/>
          <w:kern w:val="0"/>
          <w:sz w:val="32"/>
          <w:szCs w:val="32"/>
        </w:rPr>
        <w:t>，</w:t>
      </w:r>
      <w:r>
        <w:rPr>
          <w:rFonts w:hint="eastAsia" w:ascii="仿宋_GB2312" w:hAnsi="仿宋_GB2312" w:eastAsia="仿宋_GB2312" w:cs="仿宋_GB2312"/>
          <w:sz w:val="32"/>
          <w:szCs w:val="32"/>
        </w:rPr>
        <w:t>接到信息公开当事人的申请、收到邮箱的和邮件的公开申请后，及时在系统平台中登记，并且在回复办理过程中，注重加强与申请人的主动沟通，注重与律师的沟通，注重与上级部门的沟通，妥善处理遇到的新情况、新问题，切实做到依法有据、严谨细致，规范全面答复申请人。</w:t>
      </w:r>
    </w:p>
    <w:p>
      <w:pPr>
        <w:widowControl/>
        <w:spacing w:line="560" w:lineRule="exact"/>
        <w:ind w:firstLine="643" w:firstLineChars="200"/>
        <w:rPr>
          <w:rFonts w:eastAsia="楷体_GB2312"/>
          <w:b/>
          <w:color w:val="000000"/>
          <w:kern w:val="0"/>
          <w:sz w:val="32"/>
          <w:szCs w:val="32"/>
        </w:rPr>
      </w:pPr>
      <w:r>
        <w:rPr>
          <w:rFonts w:hint="eastAsia" w:eastAsia="楷体_GB2312"/>
          <w:b/>
          <w:color w:val="000000"/>
          <w:kern w:val="0"/>
          <w:sz w:val="32"/>
          <w:szCs w:val="32"/>
        </w:rPr>
        <w:t>3、完善制度，加强政府信息公开规范化管理</w:t>
      </w:r>
    </w:p>
    <w:p>
      <w:pPr>
        <w:widowControl/>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进一步完善政府信息公开的各项制度，严格执行公开保密审查制度和程序，对政府信息中涉及公民、法人或者其他组织切身利益的；需要社会公众广泛知晓或者参与的重要信息，每条都严格做好保密审查工作，切实做到能公开的一定公开，不能公开的说明理由。对主动公开、依申请公开信息进行“先审查后公开。建立健全协调机制，加强与相关部门的协调、会商，推动政府信息公开工作开展。</w:t>
      </w:r>
    </w:p>
    <w:p>
      <w:pPr>
        <w:widowControl/>
        <w:spacing w:line="560" w:lineRule="exact"/>
        <w:ind w:firstLine="803" w:firstLineChars="250"/>
        <w:outlineLvl w:val="0"/>
        <w:rPr>
          <w:rFonts w:ascii="楷体_GB2312" w:eastAsia="楷体_GB2312"/>
          <w:b/>
          <w:color w:val="000000"/>
          <w:kern w:val="0"/>
          <w:sz w:val="32"/>
          <w:szCs w:val="32"/>
        </w:rPr>
      </w:pPr>
      <w:r>
        <w:rPr>
          <w:rFonts w:hint="eastAsia" w:ascii="楷体_GB2312" w:eastAsia="楷体_GB2312"/>
          <w:b/>
          <w:color w:val="000000"/>
          <w:kern w:val="0"/>
          <w:sz w:val="32"/>
          <w:szCs w:val="32"/>
        </w:rPr>
        <w:t>4、加强教育培训，提高人员能力素质</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积极参加区信息公开办召开的培训会，就《中华人民共和国政府信息公开条例》和政务公开工作相关文件、政策法规等进行业务培训，不断提高工作人员的综合素质，增强处理信息的能力，组织机关各科室对新条例进行解读学习。2020年，我单位组织机关内部人员信息公开培训1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9"/>
        <w:tblW w:w="0" w:type="auto"/>
        <w:jc w:val="center"/>
        <w:tblLayout w:type="fixed"/>
        <w:tblCellMar>
          <w:top w:w="0" w:type="dxa"/>
          <w:left w:w="108" w:type="dxa"/>
          <w:bottom w:w="0" w:type="dxa"/>
          <w:right w:w="108" w:type="dxa"/>
        </w:tblCellMar>
      </w:tblPr>
      <w:tblGrid>
        <w:gridCol w:w="1572"/>
        <w:gridCol w:w="1230"/>
        <w:gridCol w:w="2175"/>
        <w:gridCol w:w="1887"/>
        <w:gridCol w:w="1749"/>
      </w:tblGrid>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第二十条第（一）项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本年新制作数量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本年新公开数量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对外公开总数量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规章</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规范性文件</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第二十条第（五）项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行政许可</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restart"/>
            <w:tcBorders>
              <w:top w:val="nil"/>
              <w:left w:val="single" w:color="auto" w:sz="4" w:space="0"/>
              <w:right w:val="single" w:color="auto" w:sz="4" w:space="0"/>
            </w:tcBorders>
            <w:shd w:val="clear" w:color="auto" w:fill="9CC2E5"/>
            <w:vAlign w:val="center"/>
          </w:tcPr>
          <w:p>
            <w:pPr>
              <w:jc w:val="center"/>
            </w:pPr>
            <w:r>
              <w:rPr>
                <w:rFonts w:hint="eastAsia"/>
              </w:rPr>
              <w:t>其他对外管理服务事项</w:t>
            </w: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pPr>
            <w:r>
              <w:rPr>
                <w:rFonts w:hint="eastAsia"/>
              </w:rPr>
              <w:t>行政</w:t>
            </w:r>
            <w:r>
              <w:t>检查</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1572" w:type="dxa"/>
            <w:vMerge w:val="continue"/>
            <w:tcBorders>
              <w:left w:val="single" w:color="auto" w:sz="4" w:space="0"/>
              <w:bottom w:val="single" w:color="000000" w:sz="4" w:space="0"/>
              <w:right w:val="single" w:color="auto" w:sz="4" w:space="0"/>
            </w:tcBorders>
            <w:shd w:val="clear" w:color="auto" w:fill="9CC2E5"/>
            <w:vAlign w:val="center"/>
          </w:tcPr>
          <w:p>
            <w:pPr>
              <w:jc w:val="center"/>
            </w:pPr>
          </w:p>
        </w:tc>
        <w:tc>
          <w:tcPr>
            <w:tcW w:w="1230" w:type="dxa"/>
            <w:tcBorders>
              <w:top w:val="nil"/>
              <w:left w:val="single" w:color="auto" w:sz="4" w:space="0"/>
              <w:bottom w:val="single" w:color="000000" w:sz="4" w:space="0"/>
              <w:right w:val="single" w:color="auto" w:sz="4" w:space="0"/>
            </w:tcBorders>
            <w:shd w:val="clear" w:color="auto" w:fill="9CC2E5"/>
            <w:vAlign w:val="center"/>
          </w:tcPr>
          <w:p>
            <w:pPr>
              <w:jc w:val="center"/>
            </w:pPr>
            <w:r>
              <w:rPr>
                <w:rFonts w:hint="eastAsia"/>
              </w:rPr>
              <w:t>行政</w:t>
            </w:r>
            <w:r>
              <w:t>确认</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第二十条第（六）项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1887" w:type="dxa"/>
            <w:tcBorders>
              <w:top w:val="nil"/>
              <w:left w:val="nil"/>
              <w:bottom w:val="single" w:color="auto" w:sz="4" w:space="0"/>
              <w:right w:val="single" w:color="auto" w:sz="4" w:space="0"/>
            </w:tcBorders>
            <w:shd w:val="clear" w:color="auto" w:fill="BDD6EE"/>
            <w:vAlign w:val="center"/>
          </w:tcPr>
          <w:p>
            <w:pPr>
              <w:jc w:val="center"/>
            </w:pPr>
            <w:r>
              <w:rPr>
                <w:rFonts w:hint="eastAsia"/>
              </w:rPr>
              <w:t>本年增/减</w:t>
            </w:r>
          </w:p>
        </w:tc>
        <w:tc>
          <w:tcPr>
            <w:tcW w:w="1749" w:type="dxa"/>
            <w:tcBorders>
              <w:top w:val="nil"/>
              <w:left w:val="nil"/>
              <w:bottom w:val="single" w:color="auto" w:sz="4" w:space="0"/>
              <w:right w:val="single" w:color="auto" w:sz="4" w:space="0"/>
            </w:tcBorders>
            <w:shd w:val="clear" w:color="auto" w:fill="BDD6EE"/>
            <w:vAlign w:val="center"/>
          </w:tcPr>
          <w:p>
            <w:pPr>
              <w:jc w:val="center"/>
            </w:pPr>
            <w:r>
              <w:rPr>
                <w:rFonts w:hint="eastAsia"/>
              </w:rPr>
              <w:t>处理决定数量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行政处罚</w:t>
            </w:r>
          </w:p>
        </w:tc>
        <w:tc>
          <w:tcPr>
            <w:tcW w:w="2175" w:type="dxa"/>
            <w:tcBorders>
              <w:top w:val="nil"/>
              <w:left w:val="nil"/>
              <w:bottom w:val="single" w:color="auto" w:sz="4" w:space="0"/>
              <w:right w:val="single" w:color="auto" w:sz="4" w:space="0"/>
            </w:tcBorders>
            <w:vAlign w:val="center"/>
          </w:tcPr>
          <w:p>
            <w:pPr>
              <w:jc w:val="center"/>
            </w:pPr>
            <w:r>
              <w:rPr>
                <w:rFonts w:hint="eastAsia"/>
              </w:rPr>
              <w:t>320</w:t>
            </w:r>
          </w:p>
        </w:tc>
        <w:tc>
          <w:tcPr>
            <w:tcW w:w="1887" w:type="dxa"/>
            <w:tcBorders>
              <w:top w:val="nil"/>
              <w:left w:val="nil"/>
              <w:bottom w:val="single" w:color="auto" w:sz="4" w:space="0"/>
              <w:right w:val="single" w:color="auto" w:sz="4" w:space="0"/>
            </w:tcBorders>
            <w:vAlign w:val="center"/>
          </w:tcPr>
          <w:p>
            <w:pPr>
              <w:jc w:val="center"/>
            </w:pPr>
            <w:r>
              <w:rPr>
                <w:rFonts w:hint="eastAsia"/>
              </w:rPr>
              <w:t>+176</w:t>
            </w:r>
          </w:p>
        </w:tc>
        <w:tc>
          <w:tcPr>
            <w:tcW w:w="1749" w:type="dxa"/>
            <w:tcBorders>
              <w:top w:val="nil"/>
              <w:left w:val="nil"/>
              <w:bottom w:val="single" w:color="auto" w:sz="4" w:space="0"/>
              <w:right w:val="single" w:color="auto" w:sz="4" w:space="0"/>
            </w:tcBorders>
            <w:vAlign w:val="center"/>
          </w:tcPr>
          <w:p>
            <w:pPr>
              <w:jc w:val="center"/>
            </w:pPr>
            <w:r>
              <w:rPr>
                <w:rFonts w:hint="eastAsia"/>
              </w:rPr>
              <w:t>496</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行政强制</w:t>
            </w:r>
          </w:p>
        </w:tc>
        <w:tc>
          <w:tcPr>
            <w:tcW w:w="2175" w:type="dxa"/>
            <w:tcBorders>
              <w:top w:val="nil"/>
              <w:left w:val="nil"/>
              <w:bottom w:val="single" w:color="auto" w:sz="4" w:space="0"/>
              <w:right w:val="single" w:color="auto" w:sz="4" w:space="0"/>
            </w:tcBorders>
            <w:vAlign w:val="center"/>
          </w:tcPr>
          <w:p>
            <w:pPr>
              <w:jc w:val="center"/>
            </w:pPr>
            <w:r>
              <w:rPr>
                <w:rFonts w:hint="eastAsia"/>
              </w:rPr>
              <w:t>0</w:t>
            </w:r>
          </w:p>
        </w:tc>
        <w:tc>
          <w:tcPr>
            <w:tcW w:w="1887" w:type="dxa"/>
            <w:tcBorders>
              <w:top w:val="nil"/>
              <w:left w:val="nil"/>
              <w:bottom w:val="single" w:color="auto" w:sz="4" w:space="0"/>
              <w:right w:val="single" w:color="auto" w:sz="4" w:space="0"/>
            </w:tcBorders>
            <w:vAlign w:val="center"/>
          </w:tcPr>
          <w:p>
            <w:pPr>
              <w:jc w:val="center"/>
            </w:pPr>
            <w:r>
              <w:rPr>
                <w:rFonts w:hint="eastAsia"/>
              </w:rPr>
              <w:t>0</w:t>
            </w:r>
          </w:p>
        </w:tc>
        <w:tc>
          <w:tcPr>
            <w:tcW w:w="1749" w:type="dxa"/>
            <w:tcBorders>
              <w:top w:val="nil"/>
              <w:left w:val="nil"/>
              <w:bottom w:val="single" w:color="auto" w:sz="4" w:space="0"/>
              <w:right w:val="single" w:color="auto"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000000" w:sz="8" w:space="0"/>
              <w:right w:val="single" w:color="auto" w:sz="4" w:space="0"/>
            </w:tcBorders>
            <w:shd w:val="clear" w:color="auto" w:fill="5B9BD5"/>
            <w:vAlign w:val="center"/>
          </w:tcPr>
          <w:p>
            <w:pPr>
              <w:jc w:val="center"/>
            </w:pPr>
            <w:r>
              <w:rPr>
                <w:rFonts w:hint="eastAsia"/>
              </w:rPr>
              <w:t>第二十条第（八）项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000000" w:sz="8"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single" w:color="000000" w:sz="8" w:space="0"/>
              <w:left w:val="nil"/>
              <w:bottom w:val="single" w:color="auto" w:sz="4" w:space="0"/>
              <w:right w:val="single" w:color="auto" w:sz="4" w:space="0"/>
            </w:tcBorders>
            <w:shd w:val="clear" w:color="auto" w:fill="BDD6EE"/>
            <w:vAlign w:val="center"/>
          </w:tcPr>
          <w:p>
            <w:pPr>
              <w:jc w:val="center"/>
            </w:pPr>
            <w:r>
              <w:rPr>
                <w:rFonts w:hint="eastAsia"/>
              </w:rPr>
              <w:t>上一年项目数量</w:t>
            </w:r>
          </w:p>
        </w:tc>
        <w:tc>
          <w:tcPr>
            <w:tcW w:w="3636" w:type="dxa"/>
            <w:gridSpan w:val="2"/>
            <w:tcBorders>
              <w:top w:val="single" w:color="000000" w:sz="8" w:space="0"/>
              <w:left w:val="nil"/>
              <w:bottom w:val="single" w:color="auto" w:sz="4" w:space="0"/>
              <w:right w:val="single" w:color="000000" w:sz="4" w:space="0"/>
            </w:tcBorders>
            <w:shd w:val="clear" w:color="auto" w:fill="BDD6EE"/>
            <w:vAlign w:val="center"/>
          </w:tcPr>
          <w:p>
            <w:pPr>
              <w:jc w:val="center"/>
            </w:pPr>
            <w:r>
              <w:rPr>
                <w:rFonts w:hint="eastAsia"/>
              </w:rPr>
              <w:t>本年增/减</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行政事业性收费</w:t>
            </w:r>
          </w:p>
        </w:tc>
        <w:tc>
          <w:tcPr>
            <w:tcW w:w="2175" w:type="dxa"/>
            <w:tcBorders>
              <w:top w:val="single" w:color="auto" w:sz="4" w:space="0"/>
              <w:left w:val="nil"/>
              <w:bottom w:val="single" w:color="auto" w:sz="4" w:space="0"/>
              <w:right w:val="single" w:color="auto" w:sz="4" w:space="0"/>
            </w:tcBorders>
            <w:vAlign w:val="center"/>
          </w:tcPr>
          <w:p>
            <w:pPr>
              <w:jc w:val="center"/>
            </w:pPr>
            <w:r>
              <w:rPr>
                <w:rFonts w:hint="eastAsia"/>
              </w:rPr>
              <w:t>0</w:t>
            </w:r>
          </w:p>
        </w:tc>
        <w:tc>
          <w:tcPr>
            <w:tcW w:w="3636" w:type="dxa"/>
            <w:gridSpan w:val="2"/>
            <w:tcBorders>
              <w:top w:val="single" w:color="auto" w:sz="4" w:space="0"/>
              <w:left w:val="nil"/>
              <w:bottom w:val="single" w:color="auto" w:sz="4" w:space="0"/>
              <w:right w:val="single" w:color="000000" w:sz="4" w:space="0"/>
            </w:tcBorders>
            <w:vAlign w:val="center"/>
          </w:tcPr>
          <w:p>
            <w:pPr>
              <w:jc w:val="center"/>
            </w:pPr>
            <w:r>
              <w:rPr>
                <w:rFonts w:hint="eastAsia"/>
              </w:rPr>
              <w:t>0</w:t>
            </w:r>
          </w:p>
        </w:tc>
      </w:tr>
      <w:tr>
        <w:tblPrEx>
          <w:tblCellMar>
            <w:top w:w="0" w:type="dxa"/>
            <w:left w:w="108" w:type="dxa"/>
            <w:bottom w:w="0" w:type="dxa"/>
            <w:right w:w="108" w:type="dxa"/>
          </w:tblCellMar>
        </w:tblPrEx>
        <w:trPr>
          <w:trHeight w:val="454" w:hRule="atLeast"/>
          <w:jc w:val="center"/>
        </w:trPr>
        <w:tc>
          <w:tcPr>
            <w:tcW w:w="8613" w:type="dxa"/>
            <w:gridSpan w:val="5"/>
            <w:tcBorders>
              <w:top w:val="single" w:color="auto" w:sz="4" w:space="0"/>
              <w:left w:val="single" w:color="auto" w:sz="4" w:space="0"/>
              <w:bottom w:val="single" w:color="auto" w:sz="4" w:space="0"/>
              <w:right w:val="single" w:color="auto" w:sz="4" w:space="0"/>
            </w:tcBorders>
            <w:shd w:val="clear" w:color="auto" w:fill="5B9BD5"/>
            <w:vAlign w:val="center"/>
          </w:tcPr>
          <w:p>
            <w:pPr>
              <w:jc w:val="center"/>
            </w:pPr>
            <w:r>
              <w:rPr>
                <w:rFonts w:hint="eastAsia"/>
              </w:rPr>
              <w:t>第二十条第（九）项</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信息内容</w:t>
            </w:r>
          </w:p>
        </w:tc>
        <w:tc>
          <w:tcPr>
            <w:tcW w:w="2175" w:type="dxa"/>
            <w:tcBorders>
              <w:top w:val="nil"/>
              <w:left w:val="nil"/>
              <w:bottom w:val="single" w:color="auto" w:sz="4" w:space="0"/>
              <w:right w:val="single" w:color="auto" w:sz="4" w:space="0"/>
            </w:tcBorders>
            <w:shd w:val="clear" w:color="auto" w:fill="BDD6EE"/>
            <w:vAlign w:val="center"/>
          </w:tcPr>
          <w:p>
            <w:pPr>
              <w:jc w:val="center"/>
            </w:pPr>
            <w:r>
              <w:rPr>
                <w:rFonts w:hint="eastAsia"/>
              </w:rPr>
              <w:t>采购项目数量</w:t>
            </w:r>
          </w:p>
        </w:tc>
        <w:tc>
          <w:tcPr>
            <w:tcW w:w="3636" w:type="dxa"/>
            <w:gridSpan w:val="2"/>
            <w:tcBorders>
              <w:top w:val="single" w:color="auto" w:sz="4" w:space="0"/>
              <w:left w:val="nil"/>
              <w:bottom w:val="single" w:color="auto" w:sz="4" w:space="0"/>
              <w:right w:val="single" w:color="000000" w:sz="4" w:space="0"/>
            </w:tcBorders>
            <w:shd w:val="clear" w:color="auto" w:fill="BDD6EE"/>
            <w:vAlign w:val="center"/>
          </w:tcPr>
          <w:p>
            <w:pPr>
              <w:jc w:val="center"/>
            </w:pPr>
            <w:r>
              <w:rPr>
                <w:rFonts w:hint="eastAsia"/>
              </w:rPr>
              <w:t>采购总金额（万元，保留四位小数）</w:t>
            </w:r>
          </w:p>
        </w:tc>
      </w:tr>
      <w:tr>
        <w:tblPrEx>
          <w:tblCellMar>
            <w:top w:w="0" w:type="dxa"/>
            <w:left w:w="108" w:type="dxa"/>
            <w:bottom w:w="0" w:type="dxa"/>
            <w:right w:w="108" w:type="dxa"/>
          </w:tblCellMar>
        </w:tblPrEx>
        <w:trPr>
          <w:trHeight w:val="454" w:hRule="atLeast"/>
          <w:jc w:val="center"/>
        </w:trPr>
        <w:tc>
          <w:tcPr>
            <w:tcW w:w="2802" w:type="dxa"/>
            <w:gridSpan w:val="2"/>
            <w:tcBorders>
              <w:top w:val="single" w:color="auto" w:sz="4" w:space="0"/>
              <w:left w:val="single" w:color="auto" w:sz="4" w:space="0"/>
              <w:bottom w:val="single" w:color="auto" w:sz="4" w:space="0"/>
              <w:right w:val="single" w:color="000000" w:sz="4" w:space="0"/>
            </w:tcBorders>
            <w:shd w:val="clear" w:color="auto" w:fill="9CC2E5"/>
            <w:vAlign w:val="center"/>
          </w:tcPr>
          <w:p>
            <w:pPr>
              <w:jc w:val="center"/>
            </w:pPr>
            <w:r>
              <w:rPr>
                <w:rFonts w:hint="eastAsia"/>
              </w:rPr>
              <w:t>政府集中采购</w:t>
            </w:r>
          </w:p>
        </w:tc>
        <w:tc>
          <w:tcPr>
            <w:tcW w:w="2175" w:type="dxa"/>
            <w:tcBorders>
              <w:top w:val="nil"/>
              <w:left w:val="nil"/>
              <w:bottom w:val="single" w:color="auto" w:sz="4" w:space="0"/>
              <w:right w:val="single" w:color="auto" w:sz="4" w:space="0"/>
            </w:tcBorders>
            <w:vAlign w:val="center"/>
          </w:tcPr>
          <w:p>
            <w:pPr>
              <w:jc w:val="center"/>
            </w:pPr>
            <w:r>
              <w:rPr>
                <w:rFonts w:hint="eastAsia"/>
              </w:rPr>
              <w:t>12</w:t>
            </w:r>
          </w:p>
        </w:tc>
        <w:tc>
          <w:tcPr>
            <w:tcW w:w="3636" w:type="dxa"/>
            <w:gridSpan w:val="2"/>
            <w:tcBorders>
              <w:top w:val="single" w:color="auto" w:sz="4" w:space="0"/>
              <w:left w:val="nil"/>
              <w:bottom w:val="single" w:color="auto" w:sz="4" w:space="0"/>
              <w:right w:val="single" w:color="000000" w:sz="4" w:space="0"/>
            </w:tcBorders>
            <w:vAlign w:val="center"/>
          </w:tcPr>
          <w:p>
            <w:pPr>
              <w:jc w:val="center"/>
            </w:pPr>
            <w:r>
              <w:rPr>
                <w:rFonts w:hint="eastAsia"/>
              </w:rPr>
              <w:t>2107.3600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9"/>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9"/>
        <w:gridCol w:w="856"/>
        <w:gridCol w:w="2957"/>
        <w:gridCol w:w="709"/>
        <w:gridCol w:w="709"/>
        <w:gridCol w:w="709"/>
        <w:gridCol w:w="708"/>
        <w:gridCol w:w="709"/>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jc w:val="center"/>
        </w:trPr>
        <w:tc>
          <w:tcPr>
            <w:tcW w:w="4212" w:type="dxa"/>
            <w:gridSpan w:val="3"/>
            <w:vMerge w:val="restart"/>
            <w:shd w:val="clear" w:color="auto" w:fill="5B9BD5"/>
            <w:tcMar>
              <w:top w:w="0" w:type="dxa"/>
              <w:left w:w="108" w:type="dxa"/>
              <w:bottom w:w="0" w:type="dxa"/>
              <w:right w:w="108" w:type="dxa"/>
            </w:tcMar>
            <w:vAlign w:val="center"/>
          </w:tcPr>
          <w:p>
            <w:r>
              <w:rPr>
                <w:rFonts w:hint="eastAsia"/>
              </w:rPr>
              <w:t>（本列数据的勾稽关系为：第一项加第二项之和，等于第三项加第四项之和）</w:t>
            </w:r>
          </w:p>
        </w:tc>
        <w:tc>
          <w:tcPr>
            <w:tcW w:w="4820" w:type="dxa"/>
            <w:gridSpan w:val="7"/>
            <w:shd w:val="clear" w:color="auto" w:fill="5B9BD5"/>
            <w:tcMar>
              <w:top w:w="0" w:type="dxa"/>
              <w:left w:w="108" w:type="dxa"/>
              <w:bottom w:w="0" w:type="dxa"/>
              <w:right w:w="108" w:type="dxa"/>
            </w:tcMar>
            <w:vAlign w:val="center"/>
          </w:tcPr>
          <w:p>
            <w:pPr>
              <w:jc w:val="center"/>
            </w:pPr>
            <w:r>
              <w:rPr>
                <w:rFonts w:hint="eastAsia"/>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4" w:hRule="atLeast"/>
          <w:jc w:val="center"/>
        </w:trPr>
        <w:tc>
          <w:tcPr>
            <w:tcW w:w="4212" w:type="dxa"/>
            <w:gridSpan w:val="3"/>
            <w:vMerge w:val="continue"/>
            <w:shd w:val="clear" w:color="auto" w:fill="5B9BD5"/>
            <w:tcMar>
              <w:top w:w="0" w:type="dxa"/>
              <w:left w:w="108" w:type="dxa"/>
              <w:bottom w:w="0" w:type="dxa"/>
              <w:right w:w="108" w:type="dxa"/>
            </w:tcMar>
            <w:vAlign w:val="center"/>
          </w:tcP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自然人</w:t>
            </w:r>
          </w:p>
        </w:tc>
        <w:tc>
          <w:tcPr>
            <w:tcW w:w="3402" w:type="dxa"/>
            <w:gridSpan w:val="5"/>
            <w:shd w:val="clear" w:color="auto" w:fill="5B9BD5"/>
            <w:tcMar>
              <w:top w:w="0" w:type="dxa"/>
              <w:left w:w="108" w:type="dxa"/>
              <w:bottom w:w="0" w:type="dxa"/>
              <w:right w:w="108" w:type="dxa"/>
            </w:tcMar>
            <w:vAlign w:val="center"/>
          </w:tcPr>
          <w:p>
            <w:pPr>
              <w:jc w:val="center"/>
            </w:pPr>
            <w:r>
              <w:rPr>
                <w:rFonts w:hint="eastAsia"/>
              </w:rPr>
              <w:t>法人或其他组织</w:t>
            </w:r>
          </w:p>
        </w:tc>
        <w:tc>
          <w:tcPr>
            <w:tcW w:w="709" w:type="dxa"/>
            <w:vMerge w:val="restart"/>
            <w:shd w:val="clear" w:color="auto" w:fill="5B9BD5"/>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vMerge w:val="continue"/>
            <w:shd w:val="clear" w:color="auto" w:fill="auto"/>
            <w:tcMar>
              <w:top w:w="0" w:type="dxa"/>
              <w:left w:w="108" w:type="dxa"/>
              <w:bottom w:w="0" w:type="dxa"/>
              <w:right w:w="108" w:type="dxa"/>
            </w:tcMar>
            <w:vAlign w:val="center"/>
          </w:tcPr>
          <w:p/>
        </w:tc>
        <w:tc>
          <w:tcPr>
            <w:tcW w:w="709" w:type="dxa"/>
            <w:vMerge w:val="continue"/>
            <w:shd w:val="clear" w:color="auto" w:fill="auto"/>
            <w:tcMar>
              <w:top w:w="0" w:type="dxa"/>
              <w:left w:w="108" w:type="dxa"/>
              <w:bottom w:w="0" w:type="dxa"/>
              <w:right w:w="108" w:type="dxa"/>
            </w:tcMar>
            <w:vAlign w:val="center"/>
          </w:tcPr>
          <w:p>
            <w:pPr>
              <w:jc w:val="center"/>
            </w:pPr>
          </w:p>
        </w:tc>
        <w:tc>
          <w:tcPr>
            <w:tcW w:w="709" w:type="dxa"/>
            <w:shd w:val="clear" w:color="auto" w:fill="5B9BD5"/>
            <w:tcMar>
              <w:top w:w="0" w:type="dxa"/>
              <w:left w:w="108" w:type="dxa"/>
              <w:bottom w:w="0" w:type="dxa"/>
              <w:right w:w="108" w:type="dxa"/>
            </w:tcMar>
            <w:vAlign w:val="center"/>
          </w:tcPr>
          <w:p>
            <w:pPr>
              <w:jc w:val="center"/>
            </w:pPr>
            <w:r>
              <w:rPr>
                <w:rFonts w:hint="eastAsia"/>
              </w:rPr>
              <w:t>商业企业</w:t>
            </w:r>
          </w:p>
        </w:tc>
        <w:tc>
          <w:tcPr>
            <w:tcW w:w="709" w:type="dxa"/>
            <w:shd w:val="clear" w:color="auto" w:fill="5B9BD5"/>
            <w:tcMar>
              <w:top w:w="0" w:type="dxa"/>
              <w:left w:w="108" w:type="dxa"/>
              <w:bottom w:w="0" w:type="dxa"/>
              <w:right w:w="108" w:type="dxa"/>
            </w:tcMar>
            <w:vAlign w:val="center"/>
          </w:tcPr>
          <w:p>
            <w:pPr>
              <w:jc w:val="center"/>
            </w:pPr>
            <w:r>
              <w:rPr>
                <w:rFonts w:hint="eastAsia"/>
              </w:rPr>
              <w:t>科研机构</w:t>
            </w:r>
          </w:p>
        </w:tc>
        <w:tc>
          <w:tcPr>
            <w:tcW w:w="708" w:type="dxa"/>
            <w:shd w:val="clear" w:color="auto" w:fill="5B9BD5"/>
            <w:tcMar>
              <w:top w:w="0" w:type="dxa"/>
              <w:left w:w="108" w:type="dxa"/>
              <w:bottom w:w="0" w:type="dxa"/>
              <w:right w:w="108" w:type="dxa"/>
            </w:tcMar>
            <w:vAlign w:val="center"/>
          </w:tcPr>
          <w:p>
            <w:pPr>
              <w:jc w:val="center"/>
            </w:pPr>
            <w:r>
              <w:rPr>
                <w:rFonts w:hint="eastAsia"/>
              </w:rPr>
              <w:t>社会公益组织</w:t>
            </w:r>
          </w:p>
        </w:tc>
        <w:tc>
          <w:tcPr>
            <w:tcW w:w="709" w:type="dxa"/>
            <w:shd w:val="clear" w:color="auto" w:fill="5B9BD5"/>
            <w:tcMar>
              <w:top w:w="0" w:type="dxa"/>
              <w:left w:w="108" w:type="dxa"/>
              <w:bottom w:w="0" w:type="dxa"/>
              <w:right w:w="108" w:type="dxa"/>
            </w:tcMar>
            <w:vAlign w:val="center"/>
          </w:tcPr>
          <w:p>
            <w:pPr>
              <w:jc w:val="center"/>
            </w:pPr>
            <w:r>
              <w:rPr>
                <w:rFonts w:hint="eastAsia"/>
              </w:rPr>
              <w:t>法律服务机构</w:t>
            </w:r>
          </w:p>
        </w:tc>
        <w:tc>
          <w:tcPr>
            <w:tcW w:w="567" w:type="dxa"/>
            <w:shd w:val="clear" w:color="auto" w:fill="5B9BD5"/>
            <w:tcMar>
              <w:top w:w="0" w:type="dxa"/>
              <w:left w:w="108" w:type="dxa"/>
              <w:bottom w:w="0" w:type="dxa"/>
              <w:right w:w="108" w:type="dxa"/>
            </w:tcMar>
            <w:vAlign w:val="center"/>
          </w:tcPr>
          <w:p>
            <w:pPr>
              <w:jc w:val="center"/>
            </w:pPr>
            <w:r>
              <w:rPr>
                <w:rFonts w:hint="eastAsia"/>
              </w:rPr>
              <w:t>其他</w:t>
            </w:r>
          </w:p>
        </w:tc>
        <w:tc>
          <w:tcPr>
            <w:tcW w:w="709" w:type="dxa"/>
            <w:vMerge w:val="continue"/>
            <w:tcMar>
              <w:top w:w="0" w:type="dxa"/>
              <w:left w:w="108" w:type="dxa"/>
              <w:bottom w:w="0" w:type="dxa"/>
              <w:right w:w="108"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一、本年新收政府信息公开申请数量</w:t>
            </w:r>
          </w:p>
        </w:tc>
        <w:tc>
          <w:tcPr>
            <w:tcW w:w="709" w:type="dxa"/>
            <w:tcMar>
              <w:top w:w="0" w:type="dxa"/>
              <w:left w:w="108" w:type="dxa"/>
              <w:bottom w:w="0" w:type="dxa"/>
              <w:right w:w="108" w:type="dxa"/>
            </w:tcMar>
            <w:vAlign w:val="center"/>
          </w:tcPr>
          <w:p>
            <w:pPr>
              <w:jc w:val="center"/>
            </w:pPr>
            <w:r>
              <w:rPr>
                <w:rFonts w:hint="eastAsia"/>
              </w:rPr>
              <w:t>5</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二、上年结转政府信息公开申请数量</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restart"/>
            <w:shd w:val="clear" w:color="auto" w:fill="9CC2E5"/>
            <w:tcMar>
              <w:top w:w="0" w:type="dxa"/>
              <w:left w:w="108" w:type="dxa"/>
              <w:bottom w:w="0" w:type="dxa"/>
              <w:right w:w="108" w:type="dxa"/>
            </w:tcMar>
            <w:vAlign w:val="center"/>
          </w:tcPr>
          <w:p>
            <w:r>
              <w:rPr>
                <w:rFonts w:hint="eastAsia"/>
              </w:rPr>
              <w:t>三、本年度办理结果</w:t>
            </w:r>
          </w:p>
        </w:tc>
        <w:tc>
          <w:tcPr>
            <w:tcW w:w="3813"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（一）予以公开</w:t>
            </w:r>
          </w:p>
        </w:tc>
        <w:tc>
          <w:tcPr>
            <w:tcW w:w="709" w:type="dxa"/>
            <w:tcMar>
              <w:top w:w="0" w:type="dxa"/>
              <w:left w:w="108" w:type="dxa"/>
              <w:bottom w:w="0" w:type="dxa"/>
              <w:right w:w="108" w:type="dxa"/>
            </w:tcMar>
            <w:vAlign w:val="center"/>
          </w:tcPr>
          <w:p>
            <w:pPr>
              <w:jc w:val="center"/>
            </w:pPr>
            <w:r>
              <w:rPr>
                <w:rFonts w:hint="eastAsia"/>
              </w:rPr>
              <w:t>4</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3813"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（二）部分公开（区分处理的，只计这一情形，不计其他情形）</w:t>
            </w:r>
          </w:p>
        </w:tc>
        <w:tc>
          <w:tcPr>
            <w:tcW w:w="709" w:type="dxa"/>
            <w:tcMar>
              <w:top w:w="0" w:type="dxa"/>
              <w:left w:w="108" w:type="dxa"/>
              <w:bottom w:w="0" w:type="dxa"/>
              <w:right w:w="108" w:type="dxa"/>
            </w:tcMar>
            <w:vAlign w:val="center"/>
          </w:tcPr>
          <w:p>
            <w:pPr>
              <w:jc w:val="center"/>
            </w:pPr>
            <w:r>
              <w:rPr>
                <w:rFonts w:hint="eastAsia"/>
              </w:rPr>
              <w:t>1</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（三）不予</w:t>
            </w:r>
          </w:p>
          <w:p>
            <w:pPr>
              <w:jc w:val="center"/>
              <w:rPr>
                <w:rFonts w:ascii="楷体_GB2312" w:eastAsia="楷体_GB2312"/>
              </w:rPr>
            </w:pPr>
            <w:r>
              <w:rPr>
                <w:rFonts w:hint="eastAsia" w:ascii="楷体_GB2312" w:eastAsia="楷体_GB2312"/>
              </w:rPr>
              <w:t>公开</w:t>
            </w: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1.属于国家秘密</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2.其他法律行政法规禁止公开</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3.危及“三安全一稳定”</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4.保护第三方合法权益</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5.属于三类内部事务信息</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6.属于四类过程性信息</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7.属于行政执法案卷</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8.属于行政查询事项</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（四）无法</w:t>
            </w:r>
          </w:p>
          <w:p>
            <w:pPr>
              <w:jc w:val="center"/>
              <w:rPr>
                <w:rFonts w:ascii="楷体_GB2312" w:eastAsia="楷体_GB2312"/>
              </w:rPr>
            </w:pPr>
            <w:r>
              <w:rPr>
                <w:rFonts w:hint="eastAsia" w:ascii="楷体_GB2312" w:eastAsia="楷体_GB2312"/>
              </w:rPr>
              <w:t>提供</w:t>
            </w: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1.本机关不掌握相关政府信息</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2.没有现成信息需要另行制作</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jc w:val="cente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3.补正后申请内容仍不明确</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restart"/>
            <w:shd w:val="clear" w:color="auto" w:fill="BDD6EE"/>
            <w:tcMar>
              <w:top w:w="0" w:type="dxa"/>
              <w:left w:w="108" w:type="dxa"/>
              <w:bottom w:w="0" w:type="dxa"/>
              <w:right w:w="108" w:type="dxa"/>
            </w:tcMar>
            <w:vAlign w:val="center"/>
          </w:tcPr>
          <w:p>
            <w:pPr>
              <w:jc w:val="center"/>
              <w:rPr>
                <w:rFonts w:ascii="楷体_GB2312" w:eastAsia="楷体_GB2312"/>
              </w:rPr>
            </w:pPr>
            <w:r>
              <w:rPr>
                <w:rFonts w:hint="eastAsia" w:ascii="楷体_GB2312" w:eastAsia="楷体_GB2312"/>
              </w:rPr>
              <w:t>（五）不予</w:t>
            </w:r>
          </w:p>
          <w:p>
            <w:pPr>
              <w:jc w:val="center"/>
              <w:rPr>
                <w:rFonts w:ascii="楷体_GB2312" w:eastAsia="楷体_GB2312"/>
              </w:rPr>
            </w:pPr>
            <w:r>
              <w:rPr>
                <w:rFonts w:hint="eastAsia" w:ascii="楷体_GB2312" w:eastAsia="楷体_GB2312"/>
              </w:rPr>
              <w:t>处理</w:t>
            </w: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1.信访举报投诉类申请</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2.重复申请</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3.要求提供公开出版物</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4.无正当理由大量反复申请</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856" w:type="dxa"/>
            <w:vMerge w:val="continue"/>
            <w:shd w:val="clear" w:color="auto" w:fill="BDD6EE"/>
            <w:tcMar>
              <w:top w:w="0" w:type="dxa"/>
              <w:left w:w="108" w:type="dxa"/>
              <w:bottom w:w="0" w:type="dxa"/>
              <w:right w:w="108" w:type="dxa"/>
            </w:tcMar>
            <w:vAlign w:val="center"/>
          </w:tcPr>
          <w:p>
            <w:pPr>
              <w:rPr>
                <w:rFonts w:ascii="楷体_GB2312" w:eastAsia="楷体_GB2312"/>
              </w:rPr>
            </w:pPr>
          </w:p>
        </w:tc>
        <w:tc>
          <w:tcPr>
            <w:tcW w:w="2957" w:type="dxa"/>
            <w:shd w:val="clear" w:color="auto" w:fill="DEEAF6"/>
            <w:tcMar>
              <w:top w:w="0" w:type="dxa"/>
              <w:left w:w="108" w:type="dxa"/>
              <w:bottom w:w="0" w:type="dxa"/>
              <w:right w:w="108" w:type="dxa"/>
            </w:tcMar>
            <w:vAlign w:val="center"/>
          </w:tcPr>
          <w:p>
            <w:pPr>
              <w:rPr>
                <w:rFonts w:ascii="楷体_GB2312" w:eastAsia="楷体_GB2312"/>
              </w:rPr>
            </w:pPr>
            <w:r>
              <w:rPr>
                <w:rFonts w:hint="eastAsia" w:ascii="楷体_GB2312" w:eastAsia="楷体_GB2312"/>
              </w:rPr>
              <w:t>5.要求行政机关确认或重新出具已获取信息</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3813"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（六）其他处理</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99" w:type="dxa"/>
            <w:vMerge w:val="continue"/>
            <w:shd w:val="clear" w:color="auto" w:fill="9CC2E5"/>
            <w:tcMar>
              <w:top w:w="0" w:type="dxa"/>
              <w:left w:w="108" w:type="dxa"/>
              <w:bottom w:w="0" w:type="dxa"/>
              <w:right w:w="108" w:type="dxa"/>
            </w:tcMar>
            <w:vAlign w:val="center"/>
          </w:tcPr>
          <w:p/>
        </w:tc>
        <w:tc>
          <w:tcPr>
            <w:tcW w:w="3813" w:type="dxa"/>
            <w:gridSpan w:val="2"/>
            <w:shd w:val="clear" w:color="auto" w:fill="BDD6EE"/>
            <w:tcMar>
              <w:top w:w="0" w:type="dxa"/>
              <w:left w:w="108" w:type="dxa"/>
              <w:bottom w:w="0" w:type="dxa"/>
              <w:right w:w="108" w:type="dxa"/>
            </w:tcMar>
            <w:vAlign w:val="center"/>
          </w:tcPr>
          <w:p>
            <w:pPr>
              <w:rPr>
                <w:rFonts w:ascii="楷体_GB2312" w:eastAsia="楷体_GB2312"/>
              </w:rPr>
            </w:pPr>
            <w:r>
              <w:rPr>
                <w:rFonts w:hint="eastAsia" w:ascii="楷体_GB2312" w:eastAsia="楷体_GB2312"/>
              </w:rPr>
              <w:t>（七）总计</w:t>
            </w:r>
          </w:p>
        </w:tc>
        <w:tc>
          <w:tcPr>
            <w:tcW w:w="709" w:type="dxa"/>
            <w:tcMar>
              <w:top w:w="0" w:type="dxa"/>
              <w:left w:w="108" w:type="dxa"/>
              <w:bottom w:w="0" w:type="dxa"/>
              <w:right w:w="108" w:type="dxa"/>
            </w:tcMar>
            <w:vAlign w:val="center"/>
          </w:tcPr>
          <w:p>
            <w:pPr>
              <w:jc w:val="center"/>
            </w:pPr>
            <w:r>
              <w:rPr>
                <w:rFonts w:hint="eastAsia"/>
              </w:rPr>
              <w:t>5</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4212" w:type="dxa"/>
            <w:gridSpan w:val="3"/>
            <w:shd w:val="clear" w:color="auto" w:fill="9CC2E5"/>
            <w:tcMar>
              <w:top w:w="0" w:type="dxa"/>
              <w:left w:w="108" w:type="dxa"/>
              <w:bottom w:w="0" w:type="dxa"/>
              <w:right w:w="108" w:type="dxa"/>
            </w:tcMar>
            <w:vAlign w:val="center"/>
          </w:tcPr>
          <w:p>
            <w:r>
              <w:rPr>
                <w:rFonts w:hint="eastAsia"/>
              </w:rPr>
              <w:t>四、结转下年度继续办理</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708"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c>
          <w:tcPr>
            <w:tcW w:w="567" w:type="dxa"/>
            <w:tcMar>
              <w:top w:w="0" w:type="dxa"/>
              <w:left w:w="108" w:type="dxa"/>
              <w:bottom w:w="0" w:type="dxa"/>
              <w:right w:w="108" w:type="dxa"/>
            </w:tcMar>
            <w:vAlign w:val="center"/>
          </w:tcPr>
          <w:p>
            <w:pPr>
              <w:jc w:val="center"/>
            </w:pPr>
            <w:r>
              <w:rPr>
                <w:rFonts w:hint="eastAsia"/>
              </w:rPr>
              <w:t>0</w:t>
            </w:r>
          </w:p>
        </w:tc>
        <w:tc>
          <w:tcPr>
            <w:tcW w:w="709" w:type="dxa"/>
            <w:tcMar>
              <w:top w:w="0" w:type="dxa"/>
              <w:left w:w="108" w:type="dxa"/>
              <w:bottom w:w="0" w:type="dxa"/>
              <w:right w:w="108" w:type="dxa"/>
            </w:tcMar>
            <w:vAlign w:val="center"/>
          </w:tcPr>
          <w:p>
            <w:pPr>
              <w:jc w:val="center"/>
            </w:pPr>
            <w:r>
              <w:rPr>
                <w:rFonts w:hint="eastAsia"/>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67"/>
        <w:gridCol w:w="541"/>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jc w:val="center"/>
        </w:trPr>
        <w:tc>
          <w:tcPr>
            <w:tcW w:w="2874" w:type="dxa"/>
            <w:gridSpan w:val="5"/>
            <w:tcBorders>
              <w:bottom w:val="single" w:color="auto" w:sz="4" w:space="0"/>
            </w:tcBorders>
            <w:shd w:val="clear" w:color="auto" w:fill="5B9BD5"/>
            <w:tcMar>
              <w:top w:w="0" w:type="dxa"/>
              <w:left w:w="108" w:type="dxa"/>
              <w:bottom w:w="0" w:type="dxa"/>
              <w:right w:w="108" w:type="dxa"/>
            </w:tcMar>
            <w:vAlign w:val="center"/>
          </w:tcPr>
          <w:p>
            <w:pPr>
              <w:jc w:val="center"/>
            </w:pPr>
            <w:bookmarkStart w:id="2" w:name="_GoBack"/>
            <w:r>
              <w:rPr>
                <w:rFonts w:hint="eastAsia"/>
              </w:rPr>
              <w:t>行政复议</w:t>
            </w:r>
          </w:p>
        </w:tc>
        <w:tc>
          <w:tcPr>
            <w:tcW w:w="5997" w:type="dxa"/>
            <w:gridSpan w:val="10"/>
            <w:tcBorders>
              <w:bottom w:val="single" w:color="auto" w:sz="4" w:space="0"/>
            </w:tcBorders>
            <w:shd w:val="clear" w:color="auto" w:fill="5B9BD5"/>
            <w:tcMar>
              <w:top w:w="0" w:type="dxa"/>
              <w:left w:w="108" w:type="dxa"/>
              <w:bottom w:w="0" w:type="dxa"/>
              <w:right w:w="108" w:type="dxa"/>
            </w:tcMar>
            <w:vAlign w:val="center"/>
          </w:tcPr>
          <w:p>
            <w:pPr>
              <w:jc w:val="center"/>
            </w:pPr>
            <w:r>
              <w:rPr>
                <w:rFonts w:hint="eastAsia"/>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jc w:val="center"/>
        </w:trPr>
        <w:tc>
          <w:tcPr>
            <w:tcW w:w="467"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w:t>
            </w:r>
          </w:p>
          <w:p>
            <w:pPr>
              <w:jc w:val="center"/>
            </w:pPr>
            <w:r>
              <w:rPr>
                <w:rFonts w:hint="eastAsia"/>
              </w:rPr>
              <w:t>果</w:t>
            </w:r>
          </w:p>
          <w:p>
            <w:pPr>
              <w:jc w:val="center"/>
            </w:pPr>
            <w:r>
              <w:rPr>
                <w:rFonts w:hint="eastAsia"/>
              </w:rPr>
              <w:t>维</w:t>
            </w:r>
          </w:p>
          <w:p>
            <w:pPr>
              <w:jc w:val="center"/>
            </w:pPr>
            <w:r>
              <w:rPr>
                <w:rFonts w:hint="eastAsia"/>
              </w:rPr>
              <w:t>持</w:t>
            </w:r>
          </w:p>
        </w:tc>
        <w:tc>
          <w:tcPr>
            <w:tcW w:w="541"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结果纠正</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其他结果</w:t>
            </w:r>
          </w:p>
        </w:tc>
        <w:tc>
          <w:tcPr>
            <w:tcW w:w="604"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尚未审结</w:t>
            </w:r>
          </w:p>
        </w:tc>
        <w:tc>
          <w:tcPr>
            <w:tcW w:w="658" w:type="dxa"/>
            <w:vMerge w:val="restart"/>
            <w:tcBorders>
              <w:top w:val="single" w:color="auto" w:sz="4" w:space="0"/>
            </w:tcBorders>
            <w:shd w:val="clear" w:color="auto" w:fill="auto"/>
            <w:tcMar>
              <w:top w:w="0" w:type="dxa"/>
              <w:left w:w="108" w:type="dxa"/>
              <w:bottom w:w="0" w:type="dxa"/>
              <w:right w:w="108" w:type="dxa"/>
            </w:tcMar>
            <w:vAlign w:val="center"/>
          </w:tcPr>
          <w:p>
            <w:pPr>
              <w:jc w:val="center"/>
            </w:pPr>
            <w:r>
              <w:rPr>
                <w:rFonts w:hint="eastAsia"/>
              </w:rPr>
              <w:t>总计</w:t>
            </w:r>
          </w:p>
        </w:tc>
        <w:tc>
          <w:tcPr>
            <w:tcW w:w="2970"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未经复议直接起诉</w:t>
            </w:r>
          </w:p>
        </w:tc>
        <w:tc>
          <w:tcPr>
            <w:tcW w:w="3027" w:type="dxa"/>
            <w:gridSpan w:val="5"/>
            <w:tcBorders>
              <w:top w:val="single" w:color="auto" w:sz="4" w:space="0"/>
            </w:tcBorders>
            <w:shd w:val="clear" w:color="auto" w:fill="9CC2E5"/>
            <w:tcMar>
              <w:top w:w="0" w:type="dxa"/>
              <w:left w:w="108" w:type="dxa"/>
              <w:bottom w:w="0" w:type="dxa"/>
              <w:right w:w="108" w:type="dxa"/>
            </w:tcMar>
            <w:vAlign w:val="center"/>
          </w:tcPr>
          <w:p>
            <w:pPr>
              <w:jc w:val="center"/>
            </w:pPr>
            <w:r>
              <w:rPr>
                <w:rFonts w:hint="eastAsia"/>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467" w:type="dxa"/>
            <w:vMerge w:val="continue"/>
            <w:tcMar>
              <w:top w:w="0" w:type="dxa"/>
              <w:left w:w="108" w:type="dxa"/>
              <w:bottom w:w="0" w:type="dxa"/>
              <w:right w:w="108" w:type="dxa"/>
            </w:tcMar>
            <w:vAlign w:val="center"/>
          </w:tcPr>
          <w:p>
            <w:pPr>
              <w:jc w:val="center"/>
            </w:pPr>
          </w:p>
        </w:tc>
        <w:tc>
          <w:tcPr>
            <w:tcW w:w="541" w:type="dxa"/>
            <w:vMerge w:val="continue"/>
            <w:tcMar>
              <w:top w:w="0" w:type="dxa"/>
              <w:left w:w="108" w:type="dxa"/>
              <w:bottom w:w="0" w:type="dxa"/>
              <w:right w:w="108" w:type="dxa"/>
            </w:tcMar>
            <w:vAlign w:val="center"/>
          </w:tcPr>
          <w:p>
            <w:pPr>
              <w:jc w:val="center"/>
            </w:pPr>
          </w:p>
        </w:tc>
        <w:tc>
          <w:tcPr>
            <w:tcW w:w="604" w:type="dxa"/>
            <w:vMerge w:val="continue"/>
            <w:tcMar>
              <w:top w:w="0" w:type="dxa"/>
              <w:left w:w="108" w:type="dxa"/>
              <w:bottom w:w="0" w:type="dxa"/>
              <w:right w:w="108" w:type="dxa"/>
            </w:tcMar>
            <w:vAlign w:val="center"/>
          </w:tcPr>
          <w:p>
            <w:pPr>
              <w:jc w:val="center"/>
            </w:pPr>
          </w:p>
        </w:tc>
        <w:tc>
          <w:tcPr>
            <w:tcW w:w="604" w:type="dxa"/>
            <w:vMerge w:val="continue"/>
            <w:tcMar>
              <w:top w:w="0" w:type="dxa"/>
              <w:left w:w="108" w:type="dxa"/>
              <w:bottom w:w="0" w:type="dxa"/>
              <w:right w:w="108" w:type="dxa"/>
            </w:tcMar>
            <w:vAlign w:val="center"/>
          </w:tcPr>
          <w:p>
            <w:pPr>
              <w:jc w:val="center"/>
            </w:pPr>
          </w:p>
        </w:tc>
        <w:tc>
          <w:tcPr>
            <w:tcW w:w="658" w:type="dxa"/>
            <w:vMerge w:val="continue"/>
            <w:tcMar>
              <w:top w:w="0" w:type="dxa"/>
              <w:left w:w="108" w:type="dxa"/>
              <w:bottom w:w="0" w:type="dxa"/>
              <w:right w:w="108" w:type="dxa"/>
            </w:tcMar>
            <w:vAlign w:val="center"/>
          </w:tcPr>
          <w:p>
            <w:pPr>
              <w:jc w:val="center"/>
            </w:pPr>
          </w:p>
        </w:tc>
        <w:tc>
          <w:tcPr>
            <w:tcW w:w="550"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5" w:type="dxa"/>
            <w:tcMar>
              <w:top w:w="0" w:type="dxa"/>
              <w:left w:w="108" w:type="dxa"/>
              <w:bottom w:w="0" w:type="dxa"/>
              <w:right w:w="108" w:type="dxa"/>
            </w:tcMar>
            <w:vAlign w:val="center"/>
          </w:tcPr>
          <w:p>
            <w:pPr>
              <w:jc w:val="center"/>
            </w:pPr>
            <w:r>
              <w:rPr>
                <w:rFonts w:hint="eastAsia"/>
              </w:rPr>
              <w:t>尚未审结</w:t>
            </w:r>
          </w:p>
        </w:tc>
        <w:tc>
          <w:tcPr>
            <w:tcW w:w="605" w:type="dxa"/>
            <w:tcMar>
              <w:top w:w="0" w:type="dxa"/>
              <w:left w:w="108" w:type="dxa"/>
              <w:bottom w:w="0" w:type="dxa"/>
              <w:right w:w="108" w:type="dxa"/>
            </w:tcMar>
            <w:vAlign w:val="center"/>
          </w:tcPr>
          <w:p>
            <w:pPr>
              <w:jc w:val="center"/>
            </w:pPr>
            <w:r>
              <w:rPr>
                <w:rFonts w:hint="eastAsia"/>
              </w:rPr>
              <w:t>总计</w:t>
            </w:r>
          </w:p>
        </w:tc>
        <w:tc>
          <w:tcPr>
            <w:tcW w:w="605" w:type="dxa"/>
            <w:tcMar>
              <w:top w:w="0" w:type="dxa"/>
              <w:left w:w="108" w:type="dxa"/>
              <w:bottom w:w="0" w:type="dxa"/>
              <w:right w:w="108" w:type="dxa"/>
            </w:tcMar>
            <w:vAlign w:val="center"/>
          </w:tcPr>
          <w:p>
            <w:pPr>
              <w:jc w:val="center"/>
            </w:pPr>
            <w:r>
              <w:rPr>
                <w:rFonts w:hint="eastAsia"/>
              </w:rPr>
              <w:t>结果维持</w:t>
            </w:r>
          </w:p>
        </w:tc>
        <w:tc>
          <w:tcPr>
            <w:tcW w:w="605" w:type="dxa"/>
            <w:tcMar>
              <w:top w:w="0" w:type="dxa"/>
              <w:left w:w="108" w:type="dxa"/>
              <w:bottom w:w="0" w:type="dxa"/>
              <w:right w:w="108" w:type="dxa"/>
            </w:tcMar>
            <w:vAlign w:val="center"/>
          </w:tcPr>
          <w:p>
            <w:pPr>
              <w:jc w:val="center"/>
            </w:pPr>
            <w:r>
              <w:rPr>
                <w:rFonts w:hint="eastAsia"/>
              </w:rPr>
              <w:t>结果纠正</w:t>
            </w:r>
          </w:p>
        </w:tc>
        <w:tc>
          <w:tcPr>
            <w:tcW w:w="605" w:type="dxa"/>
            <w:tcMar>
              <w:top w:w="0" w:type="dxa"/>
              <w:left w:w="108" w:type="dxa"/>
              <w:bottom w:w="0" w:type="dxa"/>
              <w:right w:w="108" w:type="dxa"/>
            </w:tcMar>
            <w:vAlign w:val="center"/>
          </w:tcPr>
          <w:p>
            <w:pPr>
              <w:jc w:val="center"/>
            </w:pPr>
            <w:r>
              <w:rPr>
                <w:rFonts w:hint="eastAsia"/>
              </w:rPr>
              <w:t>其他结果</w:t>
            </w:r>
          </w:p>
        </w:tc>
        <w:tc>
          <w:tcPr>
            <w:tcW w:w="606" w:type="dxa"/>
            <w:tcMar>
              <w:top w:w="0" w:type="dxa"/>
              <w:left w:w="108" w:type="dxa"/>
              <w:bottom w:w="0" w:type="dxa"/>
              <w:right w:w="108" w:type="dxa"/>
            </w:tcMar>
            <w:vAlign w:val="center"/>
          </w:tcPr>
          <w:p>
            <w:pPr>
              <w:jc w:val="center"/>
            </w:pPr>
            <w:r>
              <w:rPr>
                <w:rFonts w:hint="eastAsia"/>
              </w:rPr>
              <w:t>尚未审结</w:t>
            </w:r>
          </w:p>
        </w:tc>
        <w:tc>
          <w:tcPr>
            <w:tcW w:w="606" w:type="dxa"/>
            <w:tcMar>
              <w:top w:w="0" w:type="dxa"/>
              <w:left w:w="108" w:type="dxa"/>
              <w:bottom w:w="0" w:type="dxa"/>
              <w:right w:w="108" w:type="dxa"/>
            </w:tcMar>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4" w:hRule="atLeast"/>
          <w:jc w:val="center"/>
        </w:trPr>
        <w:tc>
          <w:tcPr>
            <w:tcW w:w="467" w:type="dxa"/>
            <w:tcMar>
              <w:top w:w="0" w:type="dxa"/>
              <w:left w:w="108" w:type="dxa"/>
              <w:bottom w:w="0" w:type="dxa"/>
              <w:right w:w="108" w:type="dxa"/>
            </w:tcMar>
            <w:vAlign w:val="center"/>
          </w:tcPr>
          <w:p>
            <w:pPr>
              <w:jc w:val="center"/>
            </w:pPr>
            <w:r>
              <w:rPr>
                <w:rFonts w:hint="eastAsia"/>
              </w:rPr>
              <w:t>0</w:t>
            </w:r>
          </w:p>
        </w:tc>
        <w:tc>
          <w:tcPr>
            <w:tcW w:w="541" w:type="dxa"/>
            <w:tcMar>
              <w:top w:w="0" w:type="dxa"/>
              <w:left w:w="108" w:type="dxa"/>
              <w:bottom w:w="0" w:type="dxa"/>
              <w:right w:w="108" w:type="dxa"/>
            </w:tcMar>
            <w:vAlign w:val="center"/>
          </w:tcPr>
          <w:p>
            <w:pPr>
              <w:jc w:val="center"/>
            </w:pPr>
            <w:r>
              <w:rPr>
                <w:rFonts w:hint="eastAsia"/>
              </w:rPr>
              <w:t>0</w:t>
            </w:r>
          </w:p>
        </w:tc>
        <w:tc>
          <w:tcPr>
            <w:tcW w:w="604" w:type="dxa"/>
            <w:tcMar>
              <w:top w:w="0" w:type="dxa"/>
              <w:left w:w="108" w:type="dxa"/>
              <w:bottom w:w="0" w:type="dxa"/>
              <w:right w:w="108" w:type="dxa"/>
            </w:tcMar>
            <w:vAlign w:val="center"/>
          </w:tcPr>
          <w:p>
            <w:pPr>
              <w:jc w:val="center"/>
            </w:pPr>
            <w:r>
              <w:rPr>
                <w:rFonts w:hint="eastAsia"/>
              </w:rPr>
              <w:t>0</w:t>
            </w:r>
          </w:p>
        </w:tc>
        <w:tc>
          <w:tcPr>
            <w:tcW w:w="604" w:type="dxa"/>
            <w:tcMar>
              <w:top w:w="0" w:type="dxa"/>
              <w:left w:w="108" w:type="dxa"/>
              <w:bottom w:w="0" w:type="dxa"/>
              <w:right w:w="108" w:type="dxa"/>
            </w:tcMar>
            <w:vAlign w:val="center"/>
          </w:tcPr>
          <w:p>
            <w:pPr>
              <w:jc w:val="center"/>
            </w:pPr>
            <w:r>
              <w:rPr>
                <w:rFonts w:hint="eastAsia"/>
              </w:rPr>
              <w:t>0</w:t>
            </w:r>
          </w:p>
        </w:tc>
        <w:tc>
          <w:tcPr>
            <w:tcW w:w="658" w:type="dxa"/>
            <w:tcMar>
              <w:top w:w="0" w:type="dxa"/>
              <w:left w:w="108" w:type="dxa"/>
              <w:bottom w:w="0" w:type="dxa"/>
              <w:right w:w="108" w:type="dxa"/>
            </w:tcMar>
            <w:vAlign w:val="center"/>
          </w:tcPr>
          <w:p>
            <w:pPr>
              <w:jc w:val="center"/>
            </w:pPr>
            <w:r>
              <w:rPr>
                <w:rFonts w:hint="eastAsia"/>
              </w:rPr>
              <w:t>0</w:t>
            </w:r>
          </w:p>
        </w:tc>
        <w:tc>
          <w:tcPr>
            <w:tcW w:w="550" w:type="dxa"/>
            <w:tcMar>
              <w:top w:w="0" w:type="dxa"/>
              <w:left w:w="108" w:type="dxa"/>
              <w:bottom w:w="0" w:type="dxa"/>
              <w:right w:w="108" w:type="dxa"/>
            </w:tcMar>
            <w:vAlign w:val="center"/>
          </w:tcPr>
          <w:p>
            <w:pPr>
              <w:jc w:val="center"/>
            </w:pPr>
            <w:r>
              <w:rPr>
                <w:rFonts w:hint="eastAsia"/>
              </w:rPr>
              <w:t>5</w:t>
            </w:r>
          </w:p>
        </w:tc>
        <w:tc>
          <w:tcPr>
            <w:tcW w:w="605" w:type="dxa"/>
            <w:tcMar>
              <w:top w:w="0" w:type="dxa"/>
              <w:left w:w="108" w:type="dxa"/>
              <w:bottom w:w="0" w:type="dxa"/>
              <w:right w:w="108" w:type="dxa"/>
            </w:tcMar>
            <w:vAlign w:val="center"/>
          </w:tcPr>
          <w:p>
            <w:pPr>
              <w:jc w:val="center"/>
            </w:pPr>
            <w:r>
              <w:rPr>
                <w:rFonts w:hint="eastAsia"/>
              </w:rPr>
              <w:t>1</w:t>
            </w:r>
          </w:p>
        </w:tc>
        <w:tc>
          <w:tcPr>
            <w:tcW w:w="605"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2</w:t>
            </w:r>
          </w:p>
        </w:tc>
        <w:tc>
          <w:tcPr>
            <w:tcW w:w="605" w:type="dxa"/>
            <w:tcMar>
              <w:top w:w="0" w:type="dxa"/>
              <w:left w:w="108" w:type="dxa"/>
              <w:bottom w:w="0" w:type="dxa"/>
              <w:right w:w="108" w:type="dxa"/>
            </w:tcMar>
            <w:vAlign w:val="center"/>
          </w:tcPr>
          <w:p>
            <w:pPr>
              <w:jc w:val="center"/>
            </w:pPr>
            <w:r>
              <w:rPr>
                <w:rFonts w:hint="eastAsia"/>
              </w:rPr>
              <w:t>8</w:t>
            </w:r>
          </w:p>
        </w:tc>
        <w:tc>
          <w:tcPr>
            <w:tcW w:w="605"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0</w:t>
            </w:r>
          </w:p>
        </w:tc>
        <w:tc>
          <w:tcPr>
            <w:tcW w:w="605" w:type="dxa"/>
            <w:tcMar>
              <w:top w:w="0" w:type="dxa"/>
              <w:left w:w="108" w:type="dxa"/>
              <w:bottom w:w="0" w:type="dxa"/>
              <w:right w:w="108" w:type="dxa"/>
            </w:tcMar>
            <w:vAlign w:val="center"/>
          </w:tcPr>
          <w:p>
            <w:pPr>
              <w:jc w:val="center"/>
            </w:pPr>
            <w:r>
              <w:rPr>
                <w:rFonts w:hint="eastAsia"/>
              </w:rPr>
              <w:t>0</w:t>
            </w:r>
          </w:p>
        </w:tc>
        <w:tc>
          <w:tcPr>
            <w:tcW w:w="606" w:type="dxa"/>
            <w:tcMar>
              <w:top w:w="0" w:type="dxa"/>
              <w:left w:w="108" w:type="dxa"/>
              <w:bottom w:w="0" w:type="dxa"/>
              <w:right w:w="108" w:type="dxa"/>
            </w:tcMar>
            <w:vAlign w:val="center"/>
          </w:tcPr>
          <w:p>
            <w:pPr>
              <w:jc w:val="center"/>
            </w:pPr>
            <w:r>
              <w:rPr>
                <w:rFonts w:hint="eastAsia"/>
              </w:rPr>
              <w:t>0</w:t>
            </w:r>
          </w:p>
        </w:tc>
        <w:tc>
          <w:tcPr>
            <w:tcW w:w="606" w:type="dxa"/>
            <w:tcMar>
              <w:top w:w="0" w:type="dxa"/>
              <w:left w:w="108" w:type="dxa"/>
              <w:bottom w:w="0" w:type="dxa"/>
              <w:right w:w="108" w:type="dxa"/>
            </w:tcMar>
            <w:vAlign w:val="center"/>
          </w:tcPr>
          <w:p>
            <w:pPr>
              <w:jc w:val="center"/>
            </w:pPr>
            <w:r>
              <w:rPr>
                <w:rFonts w:hint="eastAsia"/>
              </w:rPr>
              <w:t>0</w:t>
            </w:r>
          </w:p>
        </w:tc>
      </w:tr>
      <w:bookmarkEnd w:id="2"/>
    </w:tbl>
    <w:p>
      <w:pPr>
        <w:widowControl/>
        <w:shd w:val="clear" w:color="auto" w:fill="FFFFFF"/>
        <w:spacing w:line="560" w:lineRule="exact"/>
        <w:ind w:firstLine="627" w:firstLineChars="196"/>
        <w:rPr>
          <w:rFonts w:ascii="黑体" w:hAnsi="黑体" w:eastAsia="黑体" w:cs="宋体"/>
          <w:bCs/>
          <w:color w:val="333333"/>
          <w:kern w:val="0"/>
          <w:sz w:val="32"/>
          <w:szCs w:val="32"/>
        </w:rPr>
      </w:pPr>
      <w:r>
        <w:rPr>
          <w:rFonts w:hint="eastAsia" w:ascii="黑体" w:hAnsi="黑体" w:eastAsia="黑体" w:cs="宋体"/>
          <w:bCs/>
          <w:color w:val="333333"/>
          <w:kern w:val="0"/>
          <w:sz w:val="32"/>
          <w:szCs w:val="32"/>
        </w:rPr>
        <w:t>五、存在的主要问题及改进情况</w:t>
      </w:r>
    </w:p>
    <w:p>
      <w:pPr>
        <w:spacing w:line="560" w:lineRule="exact"/>
        <w:ind w:firstLine="645"/>
        <w:rPr>
          <w:rFonts w:eastAsia="楷体_GB2312"/>
          <w:b/>
          <w:sz w:val="32"/>
          <w:szCs w:val="32"/>
        </w:rPr>
      </w:pPr>
      <w:r>
        <w:rPr>
          <w:rFonts w:eastAsia="楷体_GB2312"/>
          <w:b/>
          <w:sz w:val="32"/>
          <w:szCs w:val="32"/>
        </w:rPr>
        <w:t>（一）</w:t>
      </w:r>
      <w:r>
        <w:rPr>
          <w:rFonts w:hint="eastAsia" w:eastAsia="楷体_GB2312"/>
          <w:b/>
          <w:sz w:val="32"/>
          <w:szCs w:val="32"/>
        </w:rPr>
        <w:t>存在的问题</w:t>
      </w:r>
    </w:p>
    <w:p>
      <w:pPr>
        <w:spacing w:line="560" w:lineRule="exact"/>
        <w:ind w:firstLine="803" w:firstLineChars="251"/>
        <w:rPr>
          <w:rFonts w:eastAsia="仿宋_GB2312"/>
          <w:sz w:val="32"/>
          <w:szCs w:val="32"/>
        </w:rPr>
      </w:pPr>
      <w:r>
        <w:rPr>
          <w:rFonts w:hint="eastAsia" w:eastAsia="仿宋_GB2312"/>
          <w:sz w:val="32"/>
          <w:szCs w:val="32"/>
        </w:rPr>
        <w:t>2020年，我地区政府信息公开工作在乡党委、政府的正确领导和相关部门的支持帮助下，取得了一定的成绩，与上级全面深化政务公开的部署要求相比，还存在一些差距，主要表现在：一是需进一步健全完善公开制度体系；二是公众参与程度不够；三是需要进一步提高工作人员专业素质。</w:t>
      </w:r>
    </w:p>
    <w:p>
      <w:pPr>
        <w:spacing w:line="560" w:lineRule="exact"/>
        <w:ind w:firstLine="645"/>
        <w:rPr>
          <w:rFonts w:eastAsia="楷体_GB2312"/>
          <w:b/>
          <w:sz w:val="32"/>
          <w:szCs w:val="32"/>
        </w:rPr>
      </w:pPr>
      <w:r>
        <w:rPr>
          <w:rFonts w:eastAsia="楷体_GB2312"/>
          <w:b/>
          <w:sz w:val="32"/>
          <w:szCs w:val="32"/>
        </w:rPr>
        <w:t>（二）改进措施</w:t>
      </w:r>
    </w:p>
    <w:p>
      <w:pPr>
        <w:spacing w:line="560" w:lineRule="exact"/>
        <w:ind w:firstLine="640" w:firstLineChars="200"/>
        <w:rPr>
          <w:rFonts w:eastAsia="楷体_GB2312"/>
          <w:b/>
          <w:sz w:val="32"/>
          <w:szCs w:val="32"/>
        </w:rPr>
      </w:pPr>
      <w:r>
        <w:rPr>
          <w:rFonts w:hint="eastAsia" w:eastAsia="仿宋_GB2312"/>
          <w:sz w:val="32"/>
          <w:szCs w:val="32"/>
        </w:rPr>
        <w:t>对上述存在的有关问题，我地区非常重视，并将采取多项措施促进我地区政府信息公开工作。</w:t>
      </w:r>
      <w:r>
        <w:rPr>
          <w:rFonts w:hint="eastAsia" w:eastAsia="楷体_GB2312"/>
          <w:b/>
          <w:sz w:val="32"/>
          <w:szCs w:val="32"/>
        </w:rPr>
        <w:t> </w:t>
      </w:r>
    </w:p>
    <w:p>
      <w:pPr>
        <w:spacing w:line="560" w:lineRule="exact"/>
        <w:ind w:firstLine="645"/>
        <w:rPr>
          <w:rFonts w:ascii="仿宋_GB2312" w:eastAsia="仿宋_GB2312"/>
          <w:bCs/>
          <w:color w:val="000000"/>
          <w:sz w:val="32"/>
          <w:szCs w:val="32"/>
        </w:rPr>
      </w:pPr>
      <w:r>
        <w:rPr>
          <w:rFonts w:eastAsia="仿宋_GB2312"/>
          <w:sz w:val="32"/>
          <w:szCs w:val="32"/>
        </w:rPr>
        <w:t>1</w:t>
      </w:r>
      <w:r>
        <w:rPr>
          <w:rFonts w:hint="eastAsia" w:eastAsia="仿宋_GB2312"/>
          <w:sz w:val="32"/>
          <w:szCs w:val="32"/>
        </w:rPr>
        <w:t>．落实目标责任制，建立健全各项规章制度，全面规范政府信息公开目录，做到目录内容与站内信息的一致性，规范信息公开流程，及时更新目录内容，方便公众查阅、申请、获取政府信息。</w:t>
      </w:r>
    </w:p>
    <w:p>
      <w:pPr>
        <w:spacing w:line="560" w:lineRule="exact"/>
        <w:ind w:firstLine="645"/>
        <w:rPr>
          <w:rFonts w:eastAsia="仿宋_GB2312"/>
          <w:sz w:val="32"/>
          <w:szCs w:val="32"/>
        </w:rPr>
      </w:pPr>
      <w:r>
        <w:rPr>
          <w:rFonts w:ascii="仿宋_GB2312" w:eastAsia="仿宋_GB2312"/>
          <w:bCs/>
          <w:color w:val="000000"/>
          <w:sz w:val="32"/>
          <w:szCs w:val="32"/>
        </w:rPr>
        <w:t>2</w:t>
      </w:r>
      <w:r>
        <w:rPr>
          <w:rFonts w:hint="eastAsia" w:eastAsia="仿宋_GB2312"/>
          <w:sz w:val="32"/>
          <w:szCs w:val="32"/>
        </w:rPr>
        <w:t>．积极推进通过政府信息公开让公众更大程度参与政府政策制定和社会治理，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pPr>
        <w:spacing w:line="560" w:lineRule="exact"/>
        <w:ind w:firstLine="645"/>
        <w:rPr>
          <w:rFonts w:ascii="仿宋_GB2312" w:eastAsia="仿宋_GB2312"/>
          <w:bCs/>
          <w:color w:val="000000"/>
          <w:sz w:val="32"/>
          <w:szCs w:val="32"/>
        </w:rPr>
      </w:pPr>
      <w:r>
        <w:rPr>
          <w:rFonts w:eastAsia="仿宋_GB2312"/>
          <w:sz w:val="32"/>
          <w:szCs w:val="32"/>
        </w:rPr>
        <w:t>3</w:t>
      </w:r>
      <w:r>
        <w:rPr>
          <w:rFonts w:hint="eastAsia" w:eastAsia="仿宋_GB2312"/>
          <w:sz w:val="32"/>
          <w:szCs w:val="32"/>
        </w:rPr>
        <w:t>．进一步加大培训，特别是相关法律法规的培训，加强业务知识的学习，不断提高工作人员能力素质</w:t>
      </w:r>
      <w:r>
        <w:rPr>
          <w:rFonts w:hint="eastAsia" w:ascii="仿宋_GB2312" w:eastAsia="仿宋_GB2312"/>
          <w:bCs/>
          <w:color w:val="000000"/>
          <w:sz w:val="32"/>
          <w:szCs w:val="32"/>
        </w:rPr>
        <w:t>。</w:t>
      </w:r>
    </w:p>
    <w:p>
      <w:pPr>
        <w:spacing w:line="560" w:lineRule="exact"/>
        <w:ind w:firstLine="645"/>
        <w:rPr>
          <w:rFonts w:ascii="黑体" w:hAnsi="黑体" w:eastAsia="黑体"/>
          <w:bCs/>
          <w:color w:val="000000"/>
          <w:sz w:val="32"/>
          <w:szCs w:val="32"/>
        </w:rPr>
      </w:pPr>
      <w:r>
        <w:rPr>
          <w:rFonts w:hint="eastAsia" w:ascii="黑体" w:hAnsi="黑体" w:eastAsia="黑体"/>
          <w:bCs/>
          <w:color w:val="000000"/>
          <w:sz w:val="32"/>
          <w:szCs w:val="32"/>
        </w:rPr>
        <w:t>六、其他需要报告的事项</w:t>
      </w:r>
    </w:p>
    <w:p>
      <w:pPr>
        <w:widowControl/>
        <w:spacing w:line="560" w:lineRule="exact"/>
        <w:jc w:val="left"/>
        <w:rPr>
          <w:rFonts w:eastAsia="仿宋_GB2312"/>
          <w:kern w:val="0"/>
          <w:sz w:val="32"/>
          <w:szCs w:val="32"/>
        </w:rPr>
      </w:pPr>
      <w:r>
        <w:rPr>
          <w:rFonts w:hint="eastAsia" w:ascii="仿宋_GB2312" w:eastAsia="仿宋_GB2312"/>
          <w:bCs/>
          <w:color w:val="000000"/>
          <w:sz w:val="32"/>
          <w:szCs w:val="32"/>
        </w:rPr>
        <w:t xml:space="preserve">    本报告所列数据的统计期限，自2020年1月1日起至12月31日。本报告的电子版可登录“朝阳区政府门户网站（“北京朝阳”）</w:t>
      </w:r>
      <w:r>
        <w:fldChar w:fldCharType="begin"/>
      </w:r>
      <w:r>
        <w:instrText xml:space="preserve"> HYPERLINK "http://www.bjchy.gov.cn/——" </w:instrText>
      </w:r>
      <w:r>
        <w:fldChar w:fldCharType="separate"/>
      </w:r>
      <w:r>
        <w:rPr>
          <w:rStyle w:val="12"/>
          <w:rFonts w:hint="eastAsia" w:ascii="仿宋_GB2312" w:eastAsia="仿宋_GB2312"/>
          <w:bCs/>
          <w:sz w:val="32"/>
          <w:szCs w:val="32"/>
        </w:rPr>
        <w:t>http://www.bjchy.gov.cn/——</w:t>
      </w:r>
      <w:r>
        <w:rPr>
          <w:rStyle w:val="12"/>
          <w:rFonts w:hint="eastAsia" w:ascii="仿宋_GB2312" w:eastAsia="仿宋_GB2312"/>
          <w:bCs/>
          <w:sz w:val="32"/>
          <w:szCs w:val="32"/>
        </w:rPr>
        <w:fldChar w:fldCharType="end"/>
      </w:r>
      <w:r>
        <w:rPr>
          <w:rFonts w:hint="eastAsia" w:ascii="仿宋_GB2312" w:eastAsia="仿宋_GB2312"/>
          <w:bCs/>
          <w:color w:val="000000"/>
          <w:sz w:val="32"/>
          <w:szCs w:val="32"/>
        </w:rPr>
        <w:t>政府信息公开栏目——政府信息公开年报”下载查阅。</w:t>
      </w:r>
    </w:p>
    <w:p>
      <w:pPr>
        <w:widowControl/>
        <w:spacing w:line="600" w:lineRule="exact"/>
        <w:jc w:val="left"/>
        <w:rPr>
          <w:rFonts w:eastAsia="仿宋_GB2312"/>
          <w:kern w:val="0"/>
          <w:sz w:val="32"/>
          <w:szCs w:val="32"/>
        </w:rPr>
      </w:pPr>
    </w:p>
    <w:bookmarkEnd w:id="0"/>
    <w:bookmarkEnd w:id="1"/>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p>
      <w:pPr>
        <w:widowControl/>
        <w:tabs>
          <w:tab w:val="left" w:pos="7560"/>
        </w:tabs>
        <w:spacing w:line="600" w:lineRule="exact"/>
        <w:jc w:val="left"/>
        <w:rPr>
          <w:rFonts w:eastAsia="仿宋_GB2312"/>
          <w:sz w:val="32"/>
          <w:szCs w:val="32"/>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2"/>
  </w:compat>
  <w:rsids>
    <w:rsidRoot w:val="005475D2"/>
    <w:rsid w:val="00004999"/>
    <w:rsid w:val="00006539"/>
    <w:rsid w:val="000067E2"/>
    <w:rsid w:val="00007ABB"/>
    <w:rsid w:val="0001068A"/>
    <w:rsid w:val="000124D8"/>
    <w:rsid w:val="00013DD5"/>
    <w:rsid w:val="000176EA"/>
    <w:rsid w:val="00017A3E"/>
    <w:rsid w:val="00020F67"/>
    <w:rsid w:val="00022FCE"/>
    <w:rsid w:val="00025BFE"/>
    <w:rsid w:val="00032CD3"/>
    <w:rsid w:val="000457DE"/>
    <w:rsid w:val="00050536"/>
    <w:rsid w:val="0006724E"/>
    <w:rsid w:val="000673A8"/>
    <w:rsid w:val="000708A7"/>
    <w:rsid w:val="00080B9D"/>
    <w:rsid w:val="000851D7"/>
    <w:rsid w:val="000914CF"/>
    <w:rsid w:val="00095C57"/>
    <w:rsid w:val="000A17F3"/>
    <w:rsid w:val="000B00E9"/>
    <w:rsid w:val="000B4034"/>
    <w:rsid w:val="000C69B0"/>
    <w:rsid w:val="000D1119"/>
    <w:rsid w:val="000E0A15"/>
    <w:rsid w:val="000F2A89"/>
    <w:rsid w:val="001131F7"/>
    <w:rsid w:val="00115134"/>
    <w:rsid w:val="00120BC0"/>
    <w:rsid w:val="001300D4"/>
    <w:rsid w:val="00132B45"/>
    <w:rsid w:val="00135F6B"/>
    <w:rsid w:val="00146764"/>
    <w:rsid w:val="001504E2"/>
    <w:rsid w:val="00150EE3"/>
    <w:rsid w:val="00155A6C"/>
    <w:rsid w:val="00163C9A"/>
    <w:rsid w:val="00170E20"/>
    <w:rsid w:val="00172B4E"/>
    <w:rsid w:val="001743D1"/>
    <w:rsid w:val="00175A0E"/>
    <w:rsid w:val="00182267"/>
    <w:rsid w:val="00187D46"/>
    <w:rsid w:val="00194F38"/>
    <w:rsid w:val="001A788E"/>
    <w:rsid w:val="001B35B5"/>
    <w:rsid w:val="001B3BFA"/>
    <w:rsid w:val="001B3F73"/>
    <w:rsid w:val="001B673A"/>
    <w:rsid w:val="001C11DB"/>
    <w:rsid w:val="001C2389"/>
    <w:rsid w:val="001D6F82"/>
    <w:rsid w:val="001E5623"/>
    <w:rsid w:val="001F45DB"/>
    <w:rsid w:val="002045F2"/>
    <w:rsid w:val="002257D3"/>
    <w:rsid w:val="00227CDE"/>
    <w:rsid w:val="00233DD3"/>
    <w:rsid w:val="00235F88"/>
    <w:rsid w:val="00243299"/>
    <w:rsid w:val="00245C36"/>
    <w:rsid w:val="00261E11"/>
    <w:rsid w:val="00262683"/>
    <w:rsid w:val="002715F0"/>
    <w:rsid w:val="00274807"/>
    <w:rsid w:val="00286B0B"/>
    <w:rsid w:val="0029080A"/>
    <w:rsid w:val="00295933"/>
    <w:rsid w:val="002A6BAE"/>
    <w:rsid w:val="002D02A5"/>
    <w:rsid w:val="002D18C0"/>
    <w:rsid w:val="002D5CAB"/>
    <w:rsid w:val="002E0518"/>
    <w:rsid w:val="002F6382"/>
    <w:rsid w:val="00301C98"/>
    <w:rsid w:val="00304E93"/>
    <w:rsid w:val="00307208"/>
    <w:rsid w:val="003077B4"/>
    <w:rsid w:val="003217D8"/>
    <w:rsid w:val="003243F8"/>
    <w:rsid w:val="0034582C"/>
    <w:rsid w:val="00356775"/>
    <w:rsid w:val="003567E0"/>
    <w:rsid w:val="00364473"/>
    <w:rsid w:val="00374F72"/>
    <w:rsid w:val="00385907"/>
    <w:rsid w:val="003903B8"/>
    <w:rsid w:val="00393D8A"/>
    <w:rsid w:val="003A56A3"/>
    <w:rsid w:val="003A5A6E"/>
    <w:rsid w:val="003B1C04"/>
    <w:rsid w:val="003B3B93"/>
    <w:rsid w:val="003B42CA"/>
    <w:rsid w:val="003C1C08"/>
    <w:rsid w:val="003C1CBE"/>
    <w:rsid w:val="003D4384"/>
    <w:rsid w:val="003D482F"/>
    <w:rsid w:val="003D5587"/>
    <w:rsid w:val="003E1DFF"/>
    <w:rsid w:val="003E28F8"/>
    <w:rsid w:val="003E45C4"/>
    <w:rsid w:val="003E6AB3"/>
    <w:rsid w:val="00400CBF"/>
    <w:rsid w:val="00420936"/>
    <w:rsid w:val="004305D6"/>
    <w:rsid w:val="004375C5"/>
    <w:rsid w:val="00445440"/>
    <w:rsid w:val="0044580E"/>
    <w:rsid w:val="00445973"/>
    <w:rsid w:val="00445FC6"/>
    <w:rsid w:val="00455D1F"/>
    <w:rsid w:val="00457051"/>
    <w:rsid w:val="00462737"/>
    <w:rsid w:val="00465A4C"/>
    <w:rsid w:val="00471A7C"/>
    <w:rsid w:val="004760F6"/>
    <w:rsid w:val="00480488"/>
    <w:rsid w:val="00492D7F"/>
    <w:rsid w:val="00494893"/>
    <w:rsid w:val="0049763A"/>
    <w:rsid w:val="004A5FB4"/>
    <w:rsid w:val="004B3039"/>
    <w:rsid w:val="004B3237"/>
    <w:rsid w:val="004B75F4"/>
    <w:rsid w:val="004C188A"/>
    <w:rsid w:val="004C6977"/>
    <w:rsid w:val="004D0D4B"/>
    <w:rsid w:val="004E58C1"/>
    <w:rsid w:val="004E5B0D"/>
    <w:rsid w:val="004F26D5"/>
    <w:rsid w:val="00526004"/>
    <w:rsid w:val="00541DAA"/>
    <w:rsid w:val="005475D2"/>
    <w:rsid w:val="005529BD"/>
    <w:rsid w:val="00555B79"/>
    <w:rsid w:val="00561C5E"/>
    <w:rsid w:val="005645EC"/>
    <w:rsid w:val="0058183C"/>
    <w:rsid w:val="005819BD"/>
    <w:rsid w:val="0058490C"/>
    <w:rsid w:val="005A6666"/>
    <w:rsid w:val="005B62FD"/>
    <w:rsid w:val="005B75C0"/>
    <w:rsid w:val="005C1711"/>
    <w:rsid w:val="005C4FC2"/>
    <w:rsid w:val="005D700E"/>
    <w:rsid w:val="005E33C6"/>
    <w:rsid w:val="005E4F24"/>
    <w:rsid w:val="005E61ED"/>
    <w:rsid w:val="005F42E9"/>
    <w:rsid w:val="005F6E95"/>
    <w:rsid w:val="0060116D"/>
    <w:rsid w:val="006017C4"/>
    <w:rsid w:val="006035FD"/>
    <w:rsid w:val="006163D4"/>
    <w:rsid w:val="00622299"/>
    <w:rsid w:val="006240DD"/>
    <w:rsid w:val="0062453D"/>
    <w:rsid w:val="00642BB3"/>
    <w:rsid w:val="006454B3"/>
    <w:rsid w:val="006656BD"/>
    <w:rsid w:val="00667023"/>
    <w:rsid w:val="00672B79"/>
    <w:rsid w:val="006744E6"/>
    <w:rsid w:val="00677D04"/>
    <w:rsid w:val="006A600D"/>
    <w:rsid w:val="006A7394"/>
    <w:rsid w:val="006B2C98"/>
    <w:rsid w:val="006C2D91"/>
    <w:rsid w:val="006C5F0E"/>
    <w:rsid w:val="006D4BD5"/>
    <w:rsid w:val="006D7E46"/>
    <w:rsid w:val="006E31ED"/>
    <w:rsid w:val="006E500F"/>
    <w:rsid w:val="006F129C"/>
    <w:rsid w:val="00700A7E"/>
    <w:rsid w:val="007111FF"/>
    <w:rsid w:val="007149CC"/>
    <w:rsid w:val="00722A88"/>
    <w:rsid w:val="00762C95"/>
    <w:rsid w:val="00764AAE"/>
    <w:rsid w:val="007715E7"/>
    <w:rsid w:val="00780066"/>
    <w:rsid w:val="00791F81"/>
    <w:rsid w:val="007A3C10"/>
    <w:rsid w:val="007B4A0B"/>
    <w:rsid w:val="007B77DD"/>
    <w:rsid w:val="0080761D"/>
    <w:rsid w:val="008142F1"/>
    <w:rsid w:val="00817867"/>
    <w:rsid w:val="00825077"/>
    <w:rsid w:val="00830B59"/>
    <w:rsid w:val="00833B2C"/>
    <w:rsid w:val="008357FD"/>
    <w:rsid w:val="008379D5"/>
    <w:rsid w:val="0085043D"/>
    <w:rsid w:val="00851E39"/>
    <w:rsid w:val="008531AB"/>
    <w:rsid w:val="008556F3"/>
    <w:rsid w:val="00855C63"/>
    <w:rsid w:val="00861FAC"/>
    <w:rsid w:val="00867CCE"/>
    <w:rsid w:val="00873BD6"/>
    <w:rsid w:val="008863DD"/>
    <w:rsid w:val="008A23D0"/>
    <w:rsid w:val="008A630A"/>
    <w:rsid w:val="008B22F7"/>
    <w:rsid w:val="008B2F18"/>
    <w:rsid w:val="008C33EE"/>
    <w:rsid w:val="008D1B54"/>
    <w:rsid w:val="008D22C6"/>
    <w:rsid w:val="008E7B83"/>
    <w:rsid w:val="008F026D"/>
    <w:rsid w:val="0090620A"/>
    <w:rsid w:val="0090685E"/>
    <w:rsid w:val="0091098B"/>
    <w:rsid w:val="00913A6C"/>
    <w:rsid w:val="009328CD"/>
    <w:rsid w:val="00941A86"/>
    <w:rsid w:val="00964B25"/>
    <w:rsid w:val="00966C12"/>
    <w:rsid w:val="009952A6"/>
    <w:rsid w:val="00995EED"/>
    <w:rsid w:val="00996220"/>
    <w:rsid w:val="009A5863"/>
    <w:rsid w:val="009A5973"/>
    <w:rsid w:val="009C0FE5"/>
    <w:rsid w:val="009C3E96"/>
    <w:rsid w:val="009D108C"/>
    <w:rsid w:val="009D1BC3"/>
    <w:rsid w:val="009D43FC"/>
    <w:rsid w:val="009D53CF"/>
    <w:rsid w:val="009E6689"/>
    <w:rsid w:val="009F1C94"/>
    <w:rsid w:val="009F40BA"/>
    <w:rsid w:val="00A10589"/>
    <w:rsid w:val="00A10A5D"/>
    <w:rsid w:val="00A17CD0"/>
    <w:rsid w:val="00A22750"/>
    <w:rsid w:val="00A4141F"/>
    <w:rsid w:val="00A452DF"/>
    <w:rsid w:val="00A478F1"/>
    <w:rsid w:val="00A54E29"/>
    <w:rsid w:val="00A61C26"/>
    <w:rsid w:val="00A66202"/>
    <w:rsid w:val="00A679AC"/>
    <w:rsid w:val="00A76E17"/>
    <w:rsid w:val="00A83EB0"/>
    <w:rsid w:val="00A84076"/>
    <w:rsid w:val="00A94D13"/>
    <w:rsid w:val="00AA1CBC"/>
    <w:rsid w:val="00AB0B9A"/>
    <w:rsid w:val="00AB5BF5"/>
    <w:rsid w:val="00AC67D6"/>
    <w:rsid w:val="00AD0200"/>
    <w:rsid w:val="00AD19AD"/>
    <w:rsid w:val="00AE7A1D"/>
    <w:rsid w:val="00AE7EA4"/>
    <w:rsid w:val="00AF0895"/>
    <w:rsid w:val="00AF742C"/>
    <w:rsid w:val="00B0590E"/>
    <w:rsid w:val="00B128C1"/>
    <w:rsid w:val="00B15192"/>
    <w:rsid w:val="00B21F18"/>
    <w:rsid w:val="00B2433E"/>
    <w:rsid w:val="00B32FA6"/>
    <w:rsid w:val="00B361CD"/>
    <w:rsid w:val="00B36CE7"/>
    <w:rsid w:val="00B371F0"/>
    <w:rsid w:val="00B403A3"/>
    <w:rsid w:val="00B41C80"/>
    <w:rsid w:val="00B43FB4"/>
    <w:rsid w:val="00B53CB3"/>
    <w:rsid w:val="00B943DD"/>
    <w:rsid w:val="00B94B54"/>
    <w:rsid w:val="00B95373"/>
    <w:rsid w:val="00BA0D80"/>
    <w:rsid w:val="00BA3DCC"/>
    <w:rsid w:val="00BB0ED9"/>
    <w:rsid w:val="00BB3174"/>
    <w:rsid w:val="00BB67FE"/>
    <w:rsid w:val="00BD15B7"/>
    <w:rsid w:val="00BD4EAE"/>
    <w:rsid w:val="00BE47D9"/>
    <w:rsid w:val="00BF4F38"/>
    <w:rsid w:val="00C045A3"/>
    <w:rsid w:val="00C05D7B"/>
    <w:rsid w:val="00C11256"/>
    <w:rsid w:val="00C17629"/>
    <w:rsid w:val="00C22016"/>
    <w:rsid w:val="00C2379A"/>
    <w:rsid w:val="00C24043"/>
    <w:rsid w:val="00C357EB"/>
    <w:rsid w:val="00C40929"/>
    <w:rsid w:val="00C51779"/>
    <w:rsid w:val="00C608DC"/>
    <w:rsid w:val="00C7154F"/>
    <w:rsid w:val="00C71C08"/>
    <w:rsid w:val="00C74679"/>
    <w:rsid w:val="00C75026"/>
    <w:rsid w:val="00C81571"/>
    <w:rsid w:val="00CA46B8"/>
    <w:rsid w:val="00CB2B77"/>
    <w:rsid w:val="00CB6F9C"/>
    <w:rsid w:val="00CC39D8"/>
    <w:rsid w:val="00CC55D7"/>
    <w:rsid w:val="00CC7744"/>
    <w:rsid w:val="00CD57D5"/>
    <w:rsid w:val="00CE2721"/>
    <w:rsid w:val="00D04A25"/>
    <w:rsid w:val="00D10BD8"/>
    <w:rsid w:val="00D26864"/>
    <w:rsid w:val="00D27E38"/>
    <w:rsid w:val="00D376E4"/>
    <w:rsid w:val="00D46BBC"/>
    <w:rsid w:val="00D47319"/>
    <w:rsid w:val="00D61945"/>
    <w:rsid w:val="00D6243A"/>
    <w:rsid w:val="00D70CC2"/>
    <w:rsid w:val="00D90D4B"/>
    <w:rsid w:val="00D91492"/>
    <w:rsid w:val="00D92202"/>
    <w:rsid w:val="00D96E7A"/>
    <w:rsid w:val="00DC4073"/>
    <w:rsid w:val="00DC4D8C"/>
    <w:rsid w:val="00DD13BD"/>
    <w:rsid w:val="00DD65AC"/>
    <w:rsid w:val="00DE454A"/>
    <w:rsid w:val="00DE7DE5"/>
    <w:rsid w:val="00DF138C"/>
    <w:rsid w:val="00DF2090"/>
    <w:rsid w:val="00DF20AB"/>
    <w:rsid w:val="00E05E62"/>
    <w:rsid w:val="00E06736"/>
    <w:rsid w:val="00E1226F"/>
    <w:rsid w:val="00E131B5"/>
    <w:rsid w:val="00E15805"/>
    <w:rsid w:val="00E25CCA"/>
    <w:rsid w:val="00E44357"/>
    <w:rsid w:val="00E51522"/>
    <w:rsid w:val="00E6152B"/>
    <w:rsid w:val="00E6406F"/>
    <w:rsid w:val="00E76A42"/>
    <w:rsid w:val="00E918F5"/>
    <w:rsid w:val="00E91A3C"/>
    <w:rsid w:val="00E92940"/>
    <w:rsid w:val="00E96019"/>
    <w:rsid w:val="00EB4FFE"/>
    <w:rsid w:val="00EC32F1"/>
    <w:rsid w:val="00EC40C2"/>
    <w:rsid w:val="00EC61CF"/>
    <w:rsid w:val="00EC6DD2"/>
    <w:rsid w:val="00ED506B"/>
    <w:rsid w:val="00EF4EAB"/>
    <w:rsid w:val="00EF677F"/>
    <w:rsid w:val="00EF75AD"/>
    <w:rsid w:val="00F01B3B"/>
    <w:rsid w:val="00F05AE0"/>
    <w:rsid w:val="00F07A49"/>
    <w:rsid w:val="00F115AB"/>
    <w:rsid w:val="00F16157"/>
    <w:rsid w:val="00F172FB"/>
    <w:rsid w:val="00F22295"/>
    <w:rsid w:val="00F264CD"/>
    <w:rsid w:val="00F428EB"/>
    <w:rsid w:val="00F47DFB"/>
    <w:rsid w:val="00F50FA9"/>
    <w:rsid w:val="00F5118B"/>
    <w:rsid w:val="00F63016"/>
    <w:rsid w:val="00F703F3"/>
    <w:rsid w:val="00F7273F"/>
    <w:rsid w:val="00F77644"/>
    <w:rsid w:val="00F8193C"/>
    <w:rsid w:val="00F83E39"/>
    <w:rsid w:val="00F923E0"/>
    <w:rsid w:val="00FA6D31"/>
    <w:rsid w:val="00FB0227"/>
    <w:rsid w:val="00FB3E1F"/>
    <w:rsid w:val="00FB7A38"/>
    <w:rsid w:val="00FC5D94"/>
    <w:rsid w:val="00FE1171"/>
    <w:rsid w:val="00FE55CE"/>
    <w:rsid w:val="00FE6C90"/>
    <w:rsid w:val="00FE798A"/>
    <w:rsid w:val="00FF01F9"/>
    <w:rsid w:val="00FF54D2"/>
    <w:rsid w:val="35B50D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semiHidden/>
    <w:qFormat/>
    <w:uiPriority w:val="99"/>
    <w:pPr>
      <w:shd w:val="clear" w:color="auto" w:fill="000080"/>
    </w:pPr>
  </w:style>
  <w:style w:type="paragraph" w:styleId="3">
    <w:name w:val="Body Text"/>
    <w:basedOn w:val="1"/>
    <w:link w:val="14"/>
    <w:qFormat/>
    <w:uiPriority w:val="99"/>
    <w:pPr>
      <w:suppressAutoHyphens/>
      <w:jc w:val="center"/>
    </w:pPr>
    <w:rPr>
      <w:rFonts w:ascii="方正小标宋简体" w:hAnsi="?????" w:eastAsia="方正小标宋简体"/>
      <w:color w:val="000000"/>
      <w:kern w:val="0"/>
      <w:sz w:val="44"/>
      <w:szCs w:val="20"/>
    </w:rPr>
  </w:style>
  <w:style w:type="paragraph" w:styleId="4">
    <w:name w:val="Date"/>
    <w:basedOn w:val="1"/>
    <w:next w:val="1"/>
    <w:link w:val="17"/>
    <w:qFormat/>
    <w:uiPriority w:val="99"/>
    <w:pPr>
      <w:ind w:left="100" w:leftChars="2500"/>
    </w:pPr>
  </w:style>
  <w:style w:type="paragraph" w:styleId="5">
    <w:name w:val="Balloon Text"/>
    <w:basedOn w:val="1"/>
    <w:link w:val="19"/>
    <w:qFormat/>
    <w:uiPriority w:val="99"/>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rFonts w:cs="Times New Roman"/>
      <w:b/>
      <w:bCs/>
    </w:rPr>
  </w:style>
  <w:style w:type="character" w:styleId="12">
    <w:name w:val="Hyperlink"/>
    <w:basedOn w:val="10"/>
    <w:qFormat/>
    <w:uiPriority w:val="99"/>
    <w:rPr>
      <w:rFonts w:cs="Times New Roman"/>
      <w:color w:val="BC0021"/>
      <w:u w:val="single"/>
    </w:rPr>
  </w:style>
  <w:style w:type="character" w:customStyle="1" w:styleId="13">
    <w:name w:val="bold1"/>
    <w:basedOn w:val="10"/>
    <w:qFormat/>
    <w:uiPriority w:val="0"/>
    <w:rPr>
      <w:rFonts w:cs="Times New Roman"/>
      <w:b/>
      <w:bCs/>
    </w:rPr>
  </w:style>
  <w:style w:type="character" w:customStyle="1" w:styleId="14">
    <w:name w:val="正文文本 Char"/>
    <w:basedOn w:val="10"/>
    <w:link w:val="3"/>
    <w:semiHidden/>
    <w:qFormat/>
    <w:uiPriority w:val="99"/>
    <w:rPr>
      <w:kern w:val="2"/>
      <w:sz w:val="21"/>
      <w:szCs w:val="24"/>
    </w:rPr>
  </w:style>
  <w:style w:type="paragraph" w:customStyle="1" w:styleId="15">
    <w:name w:val="Char Char Char1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6">
    <w:name w:val="文档结构图 Char"/>
    <w:basedOn w:val="10"/>
    <w:link w:val="2"/>
    <w:semiHidden/>
    <w:qFormat/>
    <w:uiPriority w:val="99"/>
    <w:rPr>
      <w:kern w:val="2"/>
      <w:sz w:val="0"/>
      <w:szCs w:val="0"/>
    </w:rPr>
  </w:style>
  <w:style w:type="character" w:customStyle="1" w:styleId="17">
    <w:name w:val="日期 Char"/>
    <w:basedOn w:val="10"/>
    <w:link w:val="4"/>
    <w:semiHidden/>
    <w:qFormat/>
    <w:uiPriority w:val="99"/>
    <w:rPr>
      <w:kern w:val="2"/>
      <w:sz w:val="21"/>
      <w:szCs w:val="24"/>
    </w:rPr>
  </w:style>
  <w:style w:type="paragraph" w:customStyle="1" w:styleId="18">
    <w:name w:val="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9">
    <w:name w:val="批注框文本 Char"/>
    <w:basedOn w:val="10"/>
    <w:link w:val="5"/>
    <w:qFormat/>
    <w:locked/>
    <w:uiPriority w:val="99"/>
    <w:rPr>
      <w:rFonts w:cs="Times New Roman"/>
      <w:kern w:val="2"/>
      <w:sz w:val="18"/>
      <w:szCs w:val="18"/>
    </w:rPr>
  </w:style>
  <w:style w:type="character" w:customStyle="1" w:styleId="20">
    <w:name w:val="页眉 Char"/>
    <w:basedOn w:val="10"/>
    <w:link w:val="7"/>
    <w:qFormat/>
    <w:locked/>
    <w:uiPriority w:val="99"/>
    <w:rPr>
      <w:rFonts w:cs="Times New Roman"/>
      <w:kern w:val="2"/>
      <w:sz w:val="18"/>
      <w:szCs w:val="18"/>
    </w:rPr>
  </w:style>
  <w:style w:type="character" w:customStyle="1" w:styleId="21">
    <w:name w:val="页脚 Char"/>
    <w:basedOn w:val="10"/>
    <w:link w:val="6"/>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477</Words>
  <Characters>2723</Characters>
  <Lines>22</Lines>
  <Paragraphs>6</Paragraphs>
  <TotalTime>3</TotalTime>
  <ScaleCrop>false</ScaleCrop>
  <LinksUpToDate>false</LinksUpToDate>
  <CharactersWithSpaces>3194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2020-12-17T08:15:00Z</dcterms:created>
  <dc:creator>微软用户</dc:creator>
  <cp:lastModifiedBy>夏夏的时节</cp:lastModifiedBy>
  <cp:lastPrinted>2020-02-27T02:59:00Z</cp:lastPrinted>
  <dcterms:modified xsi:type="dcterms:W3CDTF">2021-01-14T07:29:28Z</dcterms:modified>
  <dc:title>关于2008年度政府信息公开年度报告</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