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ascii="仿宋_GB2312" w:eastAsia="仿宋_GB2312"/>
          <w:b/>
          <w:sz w:val="32"/>
          <w:szCs w:val="32"/>
        </w:rPr>
      </w:pPr>
    </w:p>
    <w:p>
      <w:pPr>
        <w:jc w:val="center"/>
        <w:rPr>
          <w:rFonts w:ascii="黑体" w:eastAsia="黑体"/>
          <w:sz w:val="72"/>
          <w:szCs w:val="72"/>
        </w:rPr>
      </w:pPr>
    </w:p>
    <w:p>
      <w:pPr>
        <w:jc w:val="both"/>
        <w:rPr>
          <w:rFonts w:ascii="黑体" w:eastAsia="黑体"/>
          <w:sz w:val="72"/>
          <w:szCs w:val="72"/>
        </w:rPr>
      </w:pPr>
    </w:p>
    <w:p>
      <w:pPr>
        <w:jc w:val="center"/>
        <w:rPr>
          <w:rFonts w:ascii="黑体" w:eastAsia="黑体"/>
          <w:sz w:val="72"/>
          <w:szCs w:val="72"/>
        </w:rPr>
      </w:pPr>
    </w:p>
    <w:p>
      <w:pPr>
        <w:jc w:val="center"/>
        <w:rPr>
          <w:rFonts w:ascii="黑体" w:eastAsia="黑体"/>
          <w:sz w:val="72"/>
          <w:szCs w:val="72"/>
        </w:rPr>
      </w:pPr>
      <w:r>
        <w:rPr>
          <w:rFonts w:hint="eastAsia" w:ascii="黑体" w:eastAsia="黑体"/>
          <w:sz w:val="72"/>
          <w:szCs w:val="72"/>
          <w:lang w:eastAsia="zh-CN"/>
        </w:rPr>
        <w:t>2025</w:t>
      </w:r>
      <w:r>
        <w:rPr>
          <w:rFonts w:hint="eastAsia" w:ascii="黑体" w:eastAsia="黑体"/>
          <w:sz w:val="72"/>
          <w:szCs w:val="72"/>
        </w:rPr>
        <w:t>年度部门决算</w:t>
      </w:r>
    </w:p>
    <w:p>
      <w:pPr>
        <w:jc w:val="center"/>
        <w:rPr>
          <w:rFonts w:ascii="黑体" w:eastAsia="黑体"/>
          <w:sz w:val="52"/>
          <w:szCs w:val="52"/>
        </w:rPr>
      </w:pPr>
    </w:p>
    <w:p>
      <w:pPr>
        <w:jc w:val="center"/>
        <w:rPr>
          <w:rFonts w:hint="default" w:ascii="宋体" w:hAnsi="宋体" w:eastAsia="宋体"/>
          <w:sz w:val="36"/>
          <w:szCs w:val="36"/>
          <w:lang w:val="en-US" w:eastAsia="zh-CN"/>
        </w:rPr>
      </w:pPr>
      <w:r>
        <w:rPr>
          <w:rFonts w:hint="eastAsia" w:ascii="宋体" w:hAnsi="宋体"/>
          <w:sz w:val="36"/>
          <w:szCs w:val="36"/>
        </w:rPr>
        <w:t>单位名称：</w:t>
      </w:r>
      <w:r>
        <w:rPr>
          <w:rFonts w:hint="eastAsia" w:ascii="宋体" w:hAnsi="宋体"/>
          <w:sz w:val="36"/>
          <w:szCs w:val="36"/>
          <w:lang w:val="en-US" w:eastAsia="zh-CN"/>
        </w:rPr>
        <w:t>北京市朝阳区劳动人事争议仲裁院</w:t>
      </w:r>
    </w:p>
    <w:p>
      <w:pPr>
        <w:jc w:val="center"/>
        <w:rPr>
          <w:rFonts w:ascii="黑体" w:eastAsia="黑体"/>
          <w:sz w:val="52"/>
          <w:szCs w:val="52"/>
        </w:rPr>
      </w:pPr>
    </w:p>
    <w:p>
      <w:pPr>
        <w:jc w:val="center"/>
        <w:rPr>
          <w:rFonts w:ascii="黑体" w:eastAsia="黑体"/>
          <w:sz w:val="52"/>
          <w:szCs w:val="52"/>
        </w:rPr>
      </w:pPr>
    </w:p>
    <w:p>
      <w:pPr>
        <w:jc w:val="center"/>
        <w:rPr>
          <w:rFonts w:ascii="黑体" w:eastAsia="黑体"/>
          <w:sz w:val="52"/>
          <w:szCs w:val="52"/>
        </w:rPr>
      </w:pPr>
    </w:p>
    <w:p>
      <w:pPr>
        <w:jc w:val="both"/>
        <w:rPr>
          <w:rFonts w:ascii="黑体" w:eastAsia="黑体"/>
          <w:sz w:val="32"/>
          <w:szCs w:val="32"/>
        </w:rPr>
      </w:pPr>
    </w:p>
    <w:p>
      <w:pPr>
        <w:spacing w:line="500" w:lineRule="exact"/>
        <w:ind w:firstLine="645"/>
        <w:jc w:val="center"/>
        <w:rPr>
          <w:rFonts w:ascii="宋体" w:hAnsi="宋体" w:cs="宋体"/>
          <w:b/>
          <w:bCs/>
          <w:kern w:val="0"/>
          <w:sz w:val="44"/>
          <w:szCs w:val="36"/>
        </w:rPr>
      </w:pPr>
      <w:r>
        <w:rPr>
          <w:rFonts w:hint="eastAsia" w:ascii="宋体" w:hAnsi="宋体" w:cs="宋体"/>
          <w:b/>
          <w:bCs/>
          <w:kern w:val="0"/>
          <w:sz w:val="44"/>
          <w:szCs w:val="36"/>
        </w:rPr>
        <w:t>目    录</w:t>
      </w:r>
    </w:p>
    <w:p>
      <w:pPr>
        <w:spacing w:line="500" w:lineRule="exact"/>
        <w:ind w:firstLine="645"/>
        <w:jc w:val="center"/>
        <w:rPr>
          <w:rFonts w:hint="eastAsia" w:ascii="宋体" w:hAnsi="宋体" w:cs="宋体"/>
          <w:b/>
          <w:bCs/>
          <w:kern w:val="0"/>
          <w:sz w:val="36"/>
          <w:szCs w:val="36"/>
        </w:rPr>
      </w:pPr>
    </w:p>
    <w:p>
      <w:pPr>
        <w:tabs>
          <w:tab w:val="center" w:pos="6979"/>
        </w:tabs>
        <w:spacing w:line="500" w:lineRule="exact"/>
        <w:ind w:firstLine="1600" w:firstLineChars="400"/>
        <w:jc w:val="left"/>
        <w:rPr>
          <w:rFonts w:hint="eastAsia" w:ascii="宋体" w:hAnsi="宋体" w:cs="宋体"/>
          <w:bCs/>
          <w:spacing w:val="40"/>
          <w:kern w:val="0"/>
          <w:sz w:val="32"/>
          <w:szCs w:val="32"/>
        </w:rPr>
      </w:pPr>
      <w:r>
        <w:rPr>
          <w:rFonts w:hint="eastAsia" w:ascii="宋体" w:hAnsi="宋体" w:cs="宋体"/>
          <w:bCs/>
          <w:spacing w:val="40"/>
          <w:kern w:val="0"/>
          <w:sz w:val="32"/>
          <w:szCs w:val="32"/>
        </w:rPr>
        <w:t>第一部分 202</w:t>
      </w:r>
      <w:r>
        <w:rPr>
          <w:rFonts w:hint="eastAsia" w:ascii="宋体" w:hAnsi="宋体" w:cs="宋体"/>
          <w:bCs/>
          <w:spacing w:val="40"/>
          <w:kern w:val="0"/>
          <w:sz w:val="32"/>
          <w:szCs w:val="32"/>
          <w:lang w:val="en-US" w:eastAsia="zh-CN"/>
        </w:rPr>
        <w:t>5</w:t>
      </w:r>
      <w:r>
        <w:rPr>
          <w:rFonts w:hint="eastAsia" w:ascii="宋体" w:hAnsi="宋体" w:cs="宋体"/>
          <w:bCs/>
          <w:spacing w:val="40"/>
          <w:kern w:val="0"/>
          <w:sz w:val="32"/>
          <w:szCs w:val="32"/>
        </w:rPr>
        <w:t>年度部门决算报表</w:t>
      </w:r>
    </w:p>
    <w:p>
      <w:pPr>
        <w:tabs>
          <w:tab w:val="center" w:pos="6979"/>
        </w:tabs>
        <w:spacing w:line="500" w:lineRule="exact"/>
        <w:ind w:firstLine="2400" w:firstLineChars="600"/>
        <w:jc w:val="left"/>
        <w:rPr>
          <w:rFonts w:hint="eastAsia" w:ascii="仿宋_GB2312" w:hAnsi="仿宋" w:eastAsia="仿宋_GB2312"/>
          <w:spacing w:val="40"/>
          <w:sz w:val="32"/>
          <w:szCs w:val="32"/>
        </w:rPr>
      </w:pPr>
      <w:r>
        <w:rPr>
          <w:rFonts w:hint="eastAsia" w:ascii="仿宋_GB2312" w:hAnsi="仿宋" w:eastAsia="仿宋_GB2312" w:cs="宋体"/>
          <w:bCs/>
          <w:spacing w:val="40"/>
          <w:kern w:val="0"/>
          <w:sz w:val="32"/>
          <w:szCs w:val="32"/>
        </w:rPr>
        <w:t>一、收入支出决算总表</w:t>
      </w:r>
    </w:p>
    <w:p>
      <w:pPr>
        <w:tabs>
          <w:tab w:val="center" w:pos="6979"/>
        </w:tabs>
        <w:spacing w:line="500" w:lineRule="exact"/>
        <w:ind w:firstLine="2400" w:firstLineChars="600"/>
        <w:jc w:val="left"/>
        <w:rPr>
          <w:rFonts w:hint="eastAsia"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二、收入决算表</w:t>
      </w:r>
    </w:p>
    <w:p>
      <w:pPr>
        <w:tabs>
          <w:tab w:val="center" w:pos="6979"/>
        </w:tabs>
        <w:spacing w:line="500" w:lineRule="exact"/>
        <w:ind w:firstLine="2400" w:firstLineChars="600"/>
        <w:jc w:val="left"/>
        <w:rPr>
          <w:rFonts w:hint="eastAsia"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三、支出决算表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四、财政拨款收入支出决算总表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五、一般公共预算财政拨款支出决算表</w:t>
      </w:r>
    </w:p>
    <w:p>
      <w:pPr>
        <w:tabs>
          <w:tab w:val="center" w:pos="6979"/>
        </w:tabs>
        <w:spacing w:line="500" w:lineRule="exact"/>
        <w:ind w:firstLine="2400" w:firstLineChars="600"/>
        <w:jc w:val="left"/>
        <w:rPr>
          <w:rFonts w:hint="eastAsia"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六、一般公共预算财政拨款</w:t>
      </w:r>
      <w:r>
        <w:rPr>
          <w:rFonts w:ascii="仿宋_GB2312" w:hAnsi="仿宋" w:eastAsia="仿宋_GB2312" w:cs="宋体"/>
          <w:bCs/>
          <w:spacing w:val="40"/>
          <w:kern w:val="0"/>
          <w:sz w:val="32"/>
          <w:szCs w:val="32"/>
        </w:rPr>
        <w:t>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lang w:eastAsia="zh-CN"/>
        </w:rPr>
        <w:t>七</w:t>
      </w:r>
      <w:r>
        <w:rPr>
          <w:rFonts w:ascii="仿宋_GB2312" w:hAnsi="仿宋" w:eastAsia="仿宋_GB2312" w:cs="宋体"/>
          <w:bCs/>
          <w:spacing w:val="40"/>
          <w:kern w:val="0"/>
          <w:sz w:val="32"/>
          <w:szCs w:val="32"/>
        </w:rPr>
        <w:t>、</w:t>
      </w:r>
      <w:r>
        <w:rPr>
          <w:rFonts w:hint="eastAsia" w:ascii="仿宋_GB2312" w:hAnsi="仿宋" w:eastAsia="仿宋_GB2312" w:cs="宋体"/>
          <w:bCs/>
          <w:spacing w:val="40"/>
          <w:kern w:val="0"/>
          <w:sz w:val="32"/>
          <w:szCs w:val="32"/>
        </w:rPr>
        <w:t>政府性基金预算财政拨款收入支出决算表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lang w:eastAsia="zh-CN"/>
        </w:rPr>
        <w:t>八</w:t>
      </w:r>
      <w:r>
        <w:rPr>
          <w:rFonts w:hint="eastAsia" w:ascii="仿宋_GB2312" w:hAnsi="仿宋" w:eastAsia="仿宋_GB2312" w:cs="宋体"/>
          <w:bCs/>
          <w:spacing w:val="40"/>
          <w:kern w:val="0"/>
          <w:sz w:val="32"/>
          <w:szCs w:val="32"/>
        </w:rPr>
        <w:t>、</w:t>
      </w:r>
      <w:r>
        <w:rPr>
          <w:rFonts w:ascii="仿宋_GB2312" w:hAnsi="仿宋" w:eastAsia="仿宋_GB2312" w:cs="宋体"/>
          <w:bCs/>
          <w:spacing w:val="40"/>
          <w:kern w:val="0"/>
          <w:sz w:val="32"/>
          <w:szCs w:val="32"/>
        </w:rPr>
        <w:t>政府性基金</w:t>
      </w:r>
      <w:r>
        <w:rPr>
          <w:rFonts w:hint="eastAsia" w:ascii="仿宋_GB2312" w:hAnsi="仿宋" w:eastAsia="仿宋_GB2312" w:cs="宋体"/>
          <w:bCs/>
          <w:spacing w:val="40"/>
          <w:kern w:val="0"/>
          <w:sz w:val="32"/>
          <w:szCs w:val="32"/>
        </w:rPr>
        <w:t>预算</w:t>
      </w:r>
      <w:r>
        <w:rPr>
          <w:rFonts w:ascii="仿宋_GB2312" w:hAnsi="仿宋" w:eastAsia="仿宋_GB2312" w:cs="宋体"/>
          <w:bCs/>
          <w:spacing w:val="40"/>
          <w:kern w:val="0"/>
          <w:sz w:val="32"/>
          <w:szCs w:val="32"/>
        </w:rPr>
        <w:t>财政拨款基本支出决算表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lang w:eastAsia="zh-CN"/>
        </w:rPr>
        <w:t>九</w:t>
      </w:r>
      <w:r>
        <w:rPr>
          <w:rFonts w:hint="eastAsia" w:ascii="仿宋_GB2312" w:hAnsi="仿宋" w:eastAsia="仿宋_GB2312" w:cs="宋体"/>
          <w:bCs/>
          <w:spacing w:val="40"/>
          <w:kern w:val="0"/>
          <w:sz w:val="32"/>
          <w:szCs w:val="32"/>
        </w:rPr>
        <w:t>、国有资本经营预算财政拨款支出决算表</w:t>
      </w:r>
    </w:p>
    <w:p>
      <w:pPr>
        <w:tabs>
          <w:tab w:val="center" w:pos="6979"/>
        </w:tabs>
        <w:spacing w:line="500" w:lineRule="exact"/>
        <w:ind w:firstLine="2400" w:firstLineChars="600"/>
        <w:jc w:val="left"/>
        <w:rPr>
          <w:rFonts w:hint="eastAsia"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十、财政拨款“三公”经费支出决算表</w:t>
      </w:r>
    </w:p>
    <w:p>
      <w:pPr>
        <w:tabs>
          <w:tab w:val="center" w:pos="6979"/>
        </w:tabs>
        <w:spacing w:line="500" w:lineRule="exact"/>
        <w:ind w:firstLine="2400" w:firstLineChars="600"/>
        <w:jc w:val="left"/>
        <w:rPr>
          <w:rFonts w:ascii="仿宋_GB2312" w:hAnsi="仿宋" w:eastAsia="仿宋_GB2312" w:cs="宋体"/>
          <w:bCs/>
          <w:spacing w:val="40"/>
          <w:kern w:val="0"/>
          <w:sz w:val="32"/>
          <w:szCs w:val="32"/>
        </w:rPr>
      </w:pPr>
      <w:r>
        <w:rPr>
          <w:rFonts w:hint="eastAsia" w:ascii="仿宋_GB2312" w:hAnsi="仿宋" w:eastAsia="仿宋_GB2312" w:cs="宋体"/>
          <w:bCs/>
          <w:spacing w:val="40"/>
          <w:kern w:val="0"/>
          <w:sz w:val="32"/>
          <w:szCs w:val="32"/>
        </w:rPr>
        <w:t>十一、政府采购情况表</w:t>
      </w:r>
    </w:p>
    <w:p>
      <w:pPr>
        <w:tabs>
          <w:tab w:val="center" w:pos="6979"/>
        </w:tabs>
        <w:spacing w:line="500" w:lineRule="exact"/>
        <w:ind w:firstLine="1600" w:firstLineChars="400"/>
        <w:jc w:val="left"/>
        <w:rPr>
          <w:rFonts w:hint="eastAsia" w:ascii="宋体" w:hAnsi="宋体" w:cs="宋体"/>
          <w:bCs/>
          <w:spacing w:val="40"/>
          <w:kern w:val="0"/>
          <w:sz w:val="32"/>
          <w:szCs w:val="32"/>
        </w:rPr>
      </w:pPr>
      <w:r>
        <w:rPr>
          <w:rFonts w:hint="eastAsia" w:ascii="宋体" w:hAnsi="宋体" w:cs="宋体"/>
          <w:bCs/>
          <w:spacing w:val="40"/>
          <w:kern w:val="0"/>
          <w:sz w:val="32"/>
          <w:szCs w:val="32"/>
        </w:rPr>
        <w:t xml:space="preserve">第二部分 </w:t>
      </w:r>
      <w:r>
        <w:rPr>
          <w:rFonts w:hint="eastAsia" w:ascii="宋体" w:hAnsi="宋体"/>
          <w:spacing w:val="40"/>
          <w:sz w:val="32"/>
          <w:szCs w:val="32"/>
        </w:rPr>
        <w:t>202</w:t>
      </w:r>
      <w:r>
        <w:rPr>
          <w:rFonts w:hint="eastAsia" w:ascii="宋体" w:hAnsi="宋体"/>
          <w:spacing w:val="40"/>
          <w:sz w:val="32"/>
          <w:szCs w:val="32"/>
          <w:lang w:val="en-US" w:eastAsia="zh-CN"/>
        </w:rPr>
        <w:t>5</w:t>
      </w:r>
      <w:r>
        <w:rPr>
          <w:rFonts w:hint="eastAsia" w:ascii="宋体" w:hAnsi="宋体"/>
          <w:spacing w:val="40"/>
          <w:sz w:val="32"/>
          <w:szCs w:val="32"/>
        </w:rPr>
        <w:t>年度部门决算说明</w:t>
      </w:r>
    </w:p>
    <w:p>
      <w:pPr>
        <w:tabs>
          <w:tab w:val="center" w:pos="6979"/>
        </w:tabs>
        <w:spacing w:line="500" w:lineRule="exact"/>
        <w:ind w:firstLine="1600" w:firstLineChars="400"/>
        <w:jc w:val="left"/>
        <w:rPr>
          <w:rFonts w:hint="eastAsia" w:ascii="宋体" w:hAnsi="宋体" w:cs="宋体"/>
          <w:spacing w:val="40"/>
          <w:kern w:val="0"/>
          <w:sz w:val="32"/>
          <w:szCs w:val="32"/>
        </w:rPr>
      </w:pPr>
      <w:r>
        <w:rPr>
          <w:rFonts w:hint="eastAsia" w:ascii="宋体" w:hAnsi="宋体" w:cs="宋体"/>
          <w:bCs/>
          <w:spacing w:val="40"/>
          <w:kern w:val="0"/>
          <w:sz w:val="32"/>
          <w:szCs w:val="32"/>
        </w:rPr>
        <w:t xml:space="preserve">第三部分 </w:t>
      </w:r>
      <w:r>
        <w:rPr>
          <w:rFonts w:hint="eastAsia" w:ascii="宋体" w:hAnsi="宋体"/>
          <w:spacing w:val="40"/>
          <w:sz w:val="32"/>
          <w:szCs w:val="32"/>
        </w:rPr>
        <w:t>202</w:t>
      </w:r>
      <w:r>
        <w:rPr>
          <w:rFonts w:hint="eastAsia" w:ascii="宋体" w:hAnsi="宋体"/>
          <w:spacing w:val="40"/>
          <w:sz w:val="32"/>
          <w:szCs w:val="32"/>
          <w:lang w:val="en-US" w:eastAsia="zh-CN"/>
        </w:rPr>
        <w:t>5</w:t>
      </w:r>
      <w:r>
        <w:rPr>
          <w:rFonts w:hint="eastAsia" w:ascii="宋体" w:hAnsi="宋体"/>
          <w:spacing w:val="40"/>
          <w:sz w:val="32"/>
          <w:szCs w:val="32"/>
        </w:rPr>
        <w:t>年度</w:t>
      </w:r>
      <w:r>
        <w:rPr>
          <w:rFonts w:hint="eastAsia" w:ascii="宋体" w:hAnsi="宋体" w:cs="宋体"/>
          <w:spacing w:val="40"/>
          <w:kern w:val="0"/>
          <w:sz w:val="32"/>
          <w:szCs w:val="32"/>
        </w:rPr>
        <w:t>其他重要事项的情况说明</w:t>
      </w:r>
    </w:p>
    <w:p>
      <w:pPr>
        <w:tabs>
          <w:tab w:val="center" w:pos="6979"/>
        </w:tabs>
        <w:spacing w:line="500" w:lineRule="exact"/>
        <w:ind w:firstLine="1600" w:firstLineChars="400"/>
        <w:jc w:val="left"/>
        <w:rPr>
          <w:rFonts w:hint="eastAsia" w:ascii="宋体" w:hAnsi="宋体" w:cs="宋体"/>
          <w:spacing w:val="40"/>
          <w:kern w:val="0"/>
          <w:sz w:val="36"/>
          <w:szCs w:val="32"/>
        </w:rPr>
      </w:pPr>
      <w:r>
        <w:rPr>
          <w:rFonts w:hint="eastAsia" w:ascii="宋体" w:hAnsi="宋体" w:cs="宋体"/>
          <w:spacing w:val="40"/>
          <w:kern w:val="0"/>
          <w:sz w:val="32"/>
          <w:szCs w:val="32"/>
        </w:rPr>
        <w:t>第四部分 202</w:t>
      </w:r>
      <w:r>
        <w:rPr>
          <w:rFonts w:hint="eastAsia" w:ascii="宋体" w:hAnsi="宋体" w:cs="宋体"/>
          <w:spacing w:val="40"/>
          <w:kern w:val="0"/>
          <w:sz w:val="32"/>
          <w:szCs w:val="32"/>
          <w:lang w:val="en-US" w:eastAsia="zh-CN"/>
        </w:rPr>
        <w:t>5</w:t>
      </w:r>
      <w:r>
        <w:rPr>
          <w:rFonts w:hint="eastAsia" w:ascii="宋体" w:hAnsi="宋体" w:cs="宋体"/>
          <w:spacing w:val="40"/>
          <w:kern w:val="0"/>
          <w:sz w:val="32"/>
          <w:szCs w:val="32"/>
        </w:rPr>
        <w:t>年度部门绩效评价情况</w:t>
      </w: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ascii="宋体" w:hAnsi="宋体" w:cs="宋体"/>
          <w:b/>
          <w:bCs/>
          <w:spacing w:val="40"/>
          <w:kern w:val="0"/>
          <w:sz w:val="32"/>
          <w:szCs w:val="32"/>
        </w:rPr>
      </w:pPr>
    </w:p>
    <w:p>
      <w:pPr>
        <w:tabs>
          <w:tab w:val="center" w:pos="6979"/>
        </w:tabs>
        <w:spacing w:before="156" w:beforeLines="50" w:after="156" w:afterLines="50"/>
        <w:jc w:val="center"/>
        <w:rPr>
          <w:rFonts w:hint="eastAsia" w:ascii="方正小标宋简体" w:hAnsi="方正小标宋简体" w:eastAsia="方正小标宋简体" w:cs="方正小标宋简体"/>
          <w:b/>
          <w:bCs/>
          <w:spacing w:val="40"/>
          <w:kern w:val="0"/>
          <w:sz w:val="32"/>
          <w:szCs w:val="32"/>
        </w:rPr>
      </w:pPr>
      <w:r>
        <w:rPr>
          <w:rFonts w:hint="eastAsia" w:ascii="方正小标宋简体" w:hAnsi="方正小标宋简体" w:eastAsia="方正小标宋简体" w:cs="方正小标宋简体"/>
          <w:b/>
          <w:bCs/>
          <w:spacing w:val="40"/>
          <w:kern w:val="0"/>
          <w:sz w:val="32"/>
          <w:szCs w:val="32"/>
        </w:rPr>
        <w:t xml:space="preserve">第一部分 </w:t>
      </w:r>
      <w:r>
        <w:rPr>
          <w:rFonts w:hint="eastAsia" w:ascii="方正小标宋简体" w:hAnsi="方正小标宋简体" w:eastAsia="方正小标宋简体" w:cs="方正小标宋简体"/>
          <w:b/>
          <w:bCs/>
          <w:spacing w:val="40"/>
          <w:kern w:val="0"/>
          <w:sz w:val="32"/>
          <w:szCs w:val="32"/>
          <w:lang w:eastAsia="zh-CN"/>
        </w:rPr>
        <w:t>2025</w:t>
      </w:r>
      <w:r>
        <w:rPr>
          <w:rFonts w:hint="eastAsia" w:ascii="方正小标宋简体" w:hAnsi="方正小标宋简体" w:eastAsia="方正小标宋简体" w:cs="方正小标宋简体"/>
          <w:b/>
          <w:bCs/>
          <w:spacing w:val="40"/>
          <w:kern w:val="0"/>
          <w:sz w:val="32"/>
          <w:szCs w:val="32"/>
        </w:rPr>
        <w:t>年度部门决算报表</w:t>
      </w:r>
    </w:p>
    <w:p>
      <w:pPr>
        <w:keepNext w:val="0"/>
        <w:keepLines w:val="0"/>
        <w:pageBreakBefore w:val="0"/>
        <w:widowControl w:val="0"/>
        <w:tabs>
          <w:tab w:val="center" w:pos="6979"/>
        </w:tabs>
        <w:kinsoku/>
        <w:wordWrap/>
        <w:overflowPunct/>
        <w:topLinePunct w:val="0"/>
        <w:autoSpaceDE/>
        <w:autoSpaceDN/>
        <w:bidi w:val="0"/>
        <w:adjustRightInd/>
        <w:snapToGrid/>
        <w:spacing w:before="157" w:beforeLines="50" w:after="157" w:afterLines="50" w:line="240" w:lineRule="auto"/>
        <w:ind w:left="0" w:leftChars="0" w:right="0" w:rightChars="0" w:firstLine="560" w:firstLineChars="200"/>
        <w:jc w:val="both"/>
        <w:textAlignment w:val="auto"/>
        <w:outlineLvl w:val="9"/>
        <w:rPr>
          <w:b w:val="0"/>
          <w:bCs w:val="0"/>
        </w:rPr>
        <w:sectPr>
          <w:footerReference r:id="rId3" w:type="default"/>
          <w:pgSz w:w="16838" w:h="11906" w:orient="landscape"/>
          <w:pgMar w:top="1134" w:right="1134" w:bottom="1134" w:left="1134" w:header="851" w:footer="992" w:gutter="0"/>
          <w:cols w:space="720" w:num="1"/>
          <w:docGrid w:type="linesAndChars" w:linePitch="312" w:charSpace="0"/>
        </w:sectPr>
      </w:pPr>
      <w:r>
        <w:rPr>
          <w:rFonts w:hint="eastAsia" w:ascii="仿宋_GB2312" w:eastAsia="仿宋_GB2312"/>
          <w:b w:val="0"/>
          <w:bCs w:val="0"/>
          <w:sz w:val="28"/>
          <w:szCs w:val="28"/>
        </w:rPr>
        <w:t>报表详见附件。</w:t>
      </w:r>
    </w:p>
    <w:p>
      <w:pPr>
        <w:tabs>
          <w:tab w:val="center" w:pos="6979"/>
        </w:tabs>
        <w:spacing w:before="156" w:beforeLines="50" w:after="156" w:afterLines="50"/>
        <w:jc w:val="center"/>
        <w:rPr>
          <w:rFonts w:hint="eastAsia" w:ascii="方正小标宋简体" w:hAnsi="方正小标宋简体" w:eastAsia="方正小标宋简体" w:cs="方正小标宋简体"/>
          <w:b/>
          <w:sz w:val="32"/>
          <w:szCs w:val="32"/>
        </w:rPr>
      </w:pPr>
      <w:r>
        <w:rPr>
          <w:rFonts w:hint="eastAsia" w:ascii="方正小标宋简体" w:hAnsi="方正小标宋简体" w:eastAsia="方正小标宋简体" w:cs="方正小标宋简体"/>
          <w:b/>
          <w:bCs/>
          <w:spacing w:val="40"/>
          <w:kern w:val="0"/>
          <w:sz w:val="32"/>
          <w:szCs w:val="32"/>
        </w:rPr>
        <w:t xml:space="preserve">第二部分 </w:t>
      </w:r>
      <w:r>
        <w:rPr>
          <w:rFonts w:hint="eastAsia" w:ascii="方正小标宋简体" w:hAnsi="方正小标宋简体" w:eastAsia="方正小标宋简体" w:cs="方正小标宋简体"/>
          <w:b/>
          <w:spacing w:val="40"/>
          <w:sz w:val="32"/>
          <w:szCs w:val="32"/>
          <w:lang w:eastAsia="zh-CN"/>
        </w:rPr>
        <w:t>2025</w:t>
      </w:r>
      <w:r>
        <w:rPr>
          <w:rFonts w:hint="eastAsia" w:ascii="方正小标宋简体" w:hAnsi="方正小标宋简体" w:eastAsia="方正小标宋简体" w:cs="方正小标宋简体"/>
          <w:b/>
          <w:spacing w:val="40"/>
          <w:sz w:val="32"/>
          <w:szCs w:val="32"/>
        </w:rPr>
        <w:t>年度部门决算说明</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黑体" w:eastAsia="黑体"/>
          <w:b/>
          <w:sz w:val="28"/>
          <w:szCs w:val="28"/>
        </w:rPr>
      </w:pPr>
      <w:r>
        <w:rPr>
          <w:rFonts w:hint="eastAsia" w:ascii="黑体" w:eastAsia="黑体"/>
          <w:b/>
          <w:sz w:val="28"/>
          <w:szCs w:val="28"/>
        </w:rPr>
        <w:t>一、单位基本情况</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highlight w:val="none"/>
          <w:lang w:eastAsia="zh-CN"/>
        </w:rPr>
      </w:pPr>
      <w:r>
        <w:rPr>
          <w:rFonts w:hint="eastAsia" w:ascii="仿宋_GB2312" w:eastAsia="仿宋_GB2312"/>
          <w:sz w:val="28"/>
          <w:szCs w:val="28"/>
          <w:highlight w:val="none"/>
        </w:rPr>
        <w:t>（一</w:t>
      </w:r>
      <w:r>
        <w:rPr>
          <w:rFonts w:ascii="仿宋_GB2312" w:eastAsia="仿宋_GB2312"/>
          <w:sz w:val="28"/>
          <w:szCs w:val="28"/>
          <w:highlight w:val="none"/>
        </w:rPr>
        <w:t>）</w:t>
      </w:r>
      <w:r>
        <w:rPr>
          <w:rFonts w:hint="eastAsia" w:ascii="仿宋_GB2312" w:eastAsia="仿宋_GB2312"/>
          <w:sz w:val="28"/>
          <w:szCs w:val="28"/>
          <w:highlight w:val="none"/>
          <w:lang w:eastAsia="zh-CN"/>
        </w:rPr>
        <w:t>本部门职责情况</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rPr>
          <w:rFonts w:ascii="仿宋_GB2312" w:hAnsi="仿宋" w:eastAsia="仿宋_GB2312" w:cs="Times New Roman"/>
          <w:sz w:val="28"/>
          <w:szCs w:val="28"/>
        </w:rPr>
      </w:pPr>
      <w:r>
        <w:rPr>
          <w:rFonts w:hint="eastAsia" w:ascii="仿宋_GB2312" w:hAnsi="仿宋" w:eastAsia="仿宋_GB2312" w:cs="Times New Roman"/>
          <w:sz w:val="28"/>
          <w:szCs w:val="28"/>
        </w:rPr>
        <w:t>（</w:t>
      </w:r>
      <w:r>
        <w:rPr>
          <w:rFonts w:hint="eastAsia" w:ascii="仿宋_GB2312" w:hAnsi="仿宋" w:eastAsia="仿宋_GB2312"/>
          <w:sz w:val="28"/>
          <w:szCs w:val="28"/>
        </w:rPr>
        <w:t>1</w:t>
      </w:r>
      <w:r>
        <w:rPr>
          <w:rFonts w:hint="eastAsia" w:ascii="仿宋_GB2312" w:hAnsi="仿宋" w:eastAsia="仿宋_GB2312" w:cs="Times New Roman"/>
          <w:sz w:val="28"/>
          <w:szCs w:val="28"/>
        </w:rPr>
        <w:t xml:space="preserve">）贯彻执行党中央、国务院、市委、市政府有关劳动人事争议调解仲裁相关法律、法规、政策，负责辖区内劳动、人事争议调解仲裁工作的综合管理工作。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rPr>
          <w:rFonts w:ascii="仿宋_GB2312" w:hAnsi="仿宋" w:eastAsia="仿宋_GB2312" w:cs="Times New Roman"/>
          <w:sz w:val="28"/>
          <w:szCs w:val="28"/>
        </w:rPr>
      </w:pPr>
      <w:r>
        <w:rPr>
          <w:rFonts w:hint="eastAsia" w:ascii="仿宋_GB2312" w:hAnsi="仿宋" w:eastAsia="仿宋_GB2312" w:cs="Times New Roman"/>
          <w:sz w:val="28"/>
          <w:szCs w:val="28"/>
        </w:rPr>
        <w:t>（</w:t>
      </w:r>
      <w:r>
        <w:rPr>
          <w:rFonts w:hint="eastAsia" w:ascii="仿宋_GB2312" w:hAnsi="仿宋" w:eastAsia="仿宋_GB2312"/>
          <w:sz w:val="28"/>
          <w:szCs w:val="28"/>
        </w:rPr>
        <w:t>2</w:t>
      </w:r>
      <w:r>
        <w:rPr>
          <w:rFonts w:hint="eastAsia" w:ascii="仿宋_GB2312" w:hAnsi="仿宋" w:eastAsia="仿宋_GB2312" w:cs="Times New Roman"/>
          <w:sz w:val="28"/>
          <w:szCs w:val="28"/>
        </w:rPr>
        <w:t xml:space="preserve">）受理并承办辖区内劳动人事争议案件的调解和仲裁等工作。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rPr>
          <w:rFonts w:ascii="仿宋_GB2312" w:hAnsi="仿宋" w:eastAsia="仿宋_GB2312" w:cs="Times New Roman"/>
          <w:sz w:val="28"/>
          <w:szCs w:val="28"/>
        </w:rPr>
      </w:pPr>
      <w:r>
        <w:rPr>
          <w:rFonts w:hint="eastAsia" w:ascii="仿宋_GB2312" w:hAnsi="仿宋" w:eastAsia="仿宋_GB2312" w:cs="Times New Roman"/>
          <w:sz w:val="28"/>
          <w:szCs w:val="28"/>
        </w:rPr>
        <w:t>（</w:t>
      </w:r>
      <w:r>
        <w:rPr>
          <w:rFonts w:hint="eastAsia" w:ascii="仿宋_GB2312" w:hAnsi="仿宋" w:eastAsia="仿宋_GB2312"/>
          <w:sz w:val="28"/>
          <w:szCs w:val="28"/>
        </w:rPr>
        <w:t>3</w:t>
      </w:r>
      <w:r>
        <w:rPr>
          <w:rFonts w:hint="eastAsia" w:ascii="仿宋_GB2312" w:hAnsi="仿宋" w:eastAsia="仿宋_GB2312" w:cs="Times New Roman"/>
          <w:sz w:val="28"/>
          <w:szCs w:val="28"/>
        </w:rPr>
        <w:t xml:space="preserve">）负责劳动人事争议仲裁员队伍建设，以及兼职仲裁员的聘任和管理工作。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rPr>
          <w:rFonts w:ascii="仿宋_GB2312" w:hAnsi="仿宋" w:eastAsia="仿宋_GB2312" w:cs="Times New Roman"/>
          <w:sz w:val="28"/>
          <w:szCs w:val="28"/>
        </w:rPr>
      </w:pPr>
      <w:r>
        <w:rPr>
          <w:rFonts w:hint="eastAsia" w:ascii="仿宋_GB2312" w:hAnsi="仿宋" w:eastAsia="仿宋_GB2312" w:cs="Times New Roman"/>
          <w:sz w:val="28"/>
          <w:szCs w:val="28"/>
        </w:rPr>
        <w:t>（</w:t>
      </w:r>
      <w:r>
        <w:rPr>
          <w:rFonts w:hint="eastAsia" w:ascii="仿宋_GB2312" w:hAnsi="仿宋" w:eastAsia="仿宋_GB2312"/>
          <w:sz w:val="28"/>
          <w:szCs w:val="28"/>
        </w:rPr>
        <w:t>4</w:t>
      </w:r>
      <w:r>
        <w:rPr>
          <w:rFonts w:hint="eastAsia" w:ascii="仿宋_GB2312" w:hAnsi="仿宋" w:eastAsia="仿宋_GB2312" w:cs="Times New Roman"/>
          <w:sz w:val="28"/>
          <w:szCs w:val="28"/>
        </w:rPr>
        <w:t xml:space="preserve">）承担区劳动人事争议仲裁委员会的日常工作。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rPr>
          <w:rFonts w:hint="eastAsia" w:ascii="仿宋_GB2312" w:hAnsi="仿宋" w:eastAsia="仿宋_GB2312" w:cs="Times New Roman"/>
          <w:sz w:val="32"/>
          <w:szCs w:val="32"/>
        </w:rPr>
      </w:pPr>
      <w:r>
        <w:rPr>
          <w:rFonts w:hint="eastAsia" w:ascii="仿宋_GB2312" w:hAnsi="仿宋" w:eastAsia="仿宋_GB2312" w:cs="Times New Roman"/>
          <w:sz w:val="28"/>
          <w:szCs w:val="28"/>
        </w:rPr>
        <w:t>（</w:t>
      </w:r>
      <w:r>
        <w:rPr>
          <w:rFonts w:hint="eastAsia" w:ascii="仿宋_GB2312" w:hAnsi="仿宋" w:eastAsia="仿宋_GB2312"/>
          <w:sz w:val="28"/>
          <w:szCs w:val="28"/>
        </w:rPr>
        <w:t>5</w:t>
      </w:r>
      <w:r>
        <w:rPr>
          <w:rFonts w:hint="eastAsia" w:ascii="仿宋_GB2312" w:hAnsi="仿宋" w:eastAsia="仿宋_GB2312" w:cs="Times New Roman"/>
          <w:sz w:val="28"/>
          <w:szCs w:val="28"/>
        </w:rPr>
        <w:t>）承担相关法律法规赋予区人力资源社会保障部门的劳动保障、社会保险、人力资源市场、职业技能培训等方面的全部行政执法职责。以区人力资源社会保障部门名义执法。</w:t>
      </w:r>
      <w:r>
        <w:rPr>
          <w:rFonts w:hint="eastAsia" w:ascii="仿宋_GB2312" w:hAnsi="仿宋" w:eastAsia="仿宋_GB2312" w:cs="Times New Roman"/>
          <w:sz w:val="32"/>
          <w:szCs w:val="32"/>
        </w:rPr>
        <w:t xml:space="preserve"> </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pPr>
      <w:r>
        <w:rPr>
          <w:rFonts w:hint="eastAsia" w:ascii="仿宋_GB2312" w:hAnsi="仿宋" w:eastAsia="仿宋_GB2312" w:cs="Times New Roman"/>
          <w:sz w:val="28"/>
          <w:szCs w:val="28"/>
        </w:rPr>
        <w:t>（</w:t>
      </w:r>
      <w:r>
        <w:rPr>
          <w:rFonts w:hint="eastAsia" w:ascii="仿宋_GB2312" w:hAnsi="仿宋" w:eastAsia="仿宋_GB2312"/>
          <w:sz w:val="28"/>
          <w:szCs w:val="28"/>
        </w:rPr>
        <w:t>6</w:t>
      </w:r>
      <w:r>
        <w:rPr>
          <w:rFonts w:hint="eastAsia" w:ascii="仿宋_GB2312" w:hAnsi="仿宋" w:eastAsia="仿宋_GB2312" w:cs="Times New Roman"/>
          <w:sz w:val="28"/>
          <w:szCs w:val="28"/>
        </w:rPr>
        <w:t>）完成上级交办的其他任务。</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highlight w:val="none"/>
          <w:lang w:eastAsia="zh-CN"/>
        </w:rPr>
      </w:pPr>
      <w:r>
        <w:rPr>
          <w:rFonts w:hint="eastAsia" w:ascii="仿宋_GB2312" w:eastAsia="仿宋_GB2312"/>
          <w:sz w:val="28"/>
          <w:szCs w:val="28"/>
          <w:highlight w:val="none"/>
          <w:lang w:eastAsia="zh-CN"/>
        </w:rPr>
        <w:t>（二）</w:t>
      </w:r>
      <w:r>
        <w:rPr>
          <w:rFonts w:hint="eastAsia" w:ascii="仿宋_GB2312" w:eastAsia="仿宋_GB2312"/>
          <w:sz w:val="28"/>
          <w:szCs w:val="28"/>
          <w:highlight w:val="none"/>
        </w:rPr>
        <w:t>机构</w:t>
      </w:r>
      <w:r>
        <w:rPr>
          <w:rFonts w:ascii="仿宋_GB2312" w:eastAsia="仿宋_GB2312"/>
          <w:sz w:val="28"/>
          <w:szCs w:val="28"/>
          <w:highlight w:val="none"/>
        </w:rPr>
        <w:t>设置</w:t>
      </w:r>
      <w:r>
        <w:rPr>
          <w:rFonts w:hint="eastAsia" w:ascii="仿宋_GB2312" w:eastAsia="仿宋_GB2312"/>
          <w:sz w:val="28"/>
          <w:szCs w:val="28"/>
          <w:highlight w:val="none"/>
          <w:lang w:eastAsia="zh-CN"/>
        </w:rPr>
        <w:t>情况</w:t>
      </w:r>
    </w:p>
    <w:p>
      <w:pPr>
        <w:keepNext w:val="0"/>
        <w:keepLines w:val="0"/>
        <w:pageBreakBefore w:val="0"/>
        <w:widowControl w:val="0"/>
        <w:kinsoku/>
        <w:wordWrap/>
        <w:overflowPunct/>
        <w:topLinePunct w:val="0"/>
        <w:autoSpaceDE/>
        <w:autoSpaceDN/>
        <w:bidi w:val="0"/>
        <w:adjustRightInd w:val="0"/>
        <w:snapToGrid w:val="0"/>
        <w:spacing w:line="560" w:lineRule="exact"/>
        <w:ind w:left="0" w:leftChars="0" w:right="0" w:rightChars="0" w:firstLine="560" w:firstLineChars="200"/>
        <w:jc w:val="both"/>
        <w:textAlignment w:val="auto"/>
        <w:outlineLvl w:val="9"/>
        <w:rPr>
          <w:rFonts w:hint="eastAsia" w:ascii="仿宋_GB2312" w:hAnsi="仿宋" w:eastAsia="仿宋_GB2312" w:cs="仿宋_GB2312"/>
          <w:sz w:val="28"/>
          <w:szCs w:val="28"/>
        </w:rPr>
      </w:pPr>
      <w:r>
        <w:rPr>
          <w:rFonts w:hint="eastAsia" w:ascii="仿宋_GB2312" w:eastAsia="仿宋_GB2312"/>
          <w:sz w:val="28"/>
          <w:szCs w:val="28"/>
        </w:rPr>
        <w:t>根据《关于成立区劳动人事争议仲裁院的批复》（朝编[2010]43号）</w:t>
      </w:r>
      <w:r>
        <w:rPr>
          <w:rFonts w:hint="eastAsia" w:ascii="仿宋_GB2312" w:hAnsi="仿宋" w:eastAsia="仿宋_GB2312" w:cs="仿宋_GB2312"/>
          <w:sz w:val="28"/>
          <w:szCs w:val="28"/>
        </w:rPr>
        <w:t>《关于调整区人力资源社会保障局职责机构编制的批复》（朝编办[2024]32号），</w:t>
      </w:r>
      <w:r>
        <w:rPr>
          <w:rFonts w:hint="eastAsia" w:ascii="仿宋_GB2312" w:eastAsia="仿宋_GB2312"/>
          <w:sz w:val="28"/>
          <w:szCs w:val="28"/>
        </w:rPr>
        <w:t>设立北京市朝阳区劳动人事争议仲裁院。现仲裁院</w:t>
      </w:r>
      <w:r>
        <w:rPr>
          <w:rFonts w:hint="eastAsia" w:ascii="仿宋_GB2312" w:hAnsi="仿宋" w:eastAsia="仿宋_GB2312" w:cs="仿宋_GB2312"/>
          <w:sz w:val="28"/>
          <w:szCs w:val="28"/>
        </w:rPr>
        <w:t>内设十一个科室，分别为办公室、组织科、立案科、调解科、基层指导科、综合执法科，审理一、二、三、四、五庭。</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b/>
          <w:sz w:val="32"/>
          <w:szCs w:val="32"/>
        </w:rPr>
      </w:pP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黑体" w:eastAsia="黑体"/>
          <w:b/>
          <w:sz w:val="28"/>
          <w:szCs w:val="28"/>
        </w:rPr>
      </w:pPr>
      <w:r>
        <w:rPr>
          <w:rFonts w:hint="eastAsia" w:ascii="仿宋_GB2312" w:eastAsia="仿宋_GB2312"/>
          <w:b/>
          <w:sz w:val="32"/>
          <w:szCs w:val="32"/>
        </w:rPr>
        <w:t xml:space="preserve"> </w:t>
      </w:r>
      <w:r>
        <w:rPr>
          <w:rFonts w:hint="eastAsia" w:ascii="黑体" w:eastAsia="黑体"/>
          <w:b/>
          <w:sz w:val="28"/>
          <w:szCs w:val="28"/>
        </w:rPr>
        <w:t>二、收入支出决算总体情况说明</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rPr>
      </w:pPr>
      <w:r>
        <w:rPr>
          <w:rFonts w:hint="eastAsia" w:ascii="仿宋_GB2312" w:eastAsia="仿宋_GB2312"/>
          <w:sz w:val="28"/>
          <w:szCs w:val="28"/>
          <w:lang w:eastAsia="zh-CN"/>
        </w:rPr>
        <w:t>2025</w:t>
      </w:r>
      <w:r>
        <w:rPr>
          <w:rFonts w:hint="eastAsia" w:ascii="仿宋_GB2312" w:eastAsia="仿宋_GB2312"/>
          <w:sz w:val="28"/>
          <w:szCs w:val="28"/>
        </w:rPr>
        <w:t>年度收、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9787.32</w:t>
      </w:r>
      <w:r>
        <w:rPr>
          <w:rFonts w:hint="eastAsia" w:ascii="仿宋_GB2312" w:eastAsia="仿宋_GB2312"/>
          <w:sz w:val="28"/>
          <w:szCs w:val="28"/>
        </w:rPr>
        <w:t>万元，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9.11</w:t>
      </w:r>
      <w:r>
        <w:rPr>
          <w:rFonts w:hint="eastAsia" w:ascii="仿宋_GB2312" w:eastAsia="仿宋_GB2312"/>
          <w:sz w:val="28"/>
          <w:szCs w:val="28"/>
        </w:rPr>
        <w:t>万元，下降</w:t>
      </w:r>
      <w:r>
        <w:rPr>
          <w:rFonts w:hint="eastAsia" w:ascii="仿宋_GB2312" w:eastAsia="仿宋_GB2312"/>
          <w:sz w:val="28"/>
          <w:szCs w:val="28"/>
          <w:lang w:val="en-US" w:eastAsia="zh-CN"/>
        </w:rPr>
        <w:t>0.09</w:t>
      </w:r>
      <w:r>
        <w:rPr>
          <w:rFonts w:hint="eastAsia" w:ascii="仿宋_GB2312" w:eastAsia="仿宋_GB2312"/>
          <w:sz w:val="28"/>
          <w:szCs w:val="28"/>
        </w:rPr>
        <w:t>%。</w:t>
      </w:r>
      <w:r>
        <w:rPr>
          <w:rFonts w:hint="eastAsia" w:ascii="仿宋_GB2312" w:eastAsia="仿宋_GB2312"/>
          <w:sz w:val="28"/>
          <w:szCs w:val="28"/>
          <w:highlight w:val="none"/>
        </w:rPr>
        <w:t>主要原因：</w:t>
      </w:r>
      <w:r>
        <w:rPr>
          <w:rFonts w:hint="eastAsia" w:ascii="仿宋_GB2312" w:hAnsi="Calibri" w:eastAsia="仿宋_GB2312" w:cs="Times New Roman"/>
          <w:sz w:val="28"/>
          <w:szCs w:val="28"/>
        </w:rPr>
        <w:t>坚持落实过“紧日子”</w:t>
      </w:r>
      <w:r>
        <w:rPr>
          <w:rFonts w:hint="eastAsia" w:ascii="仿宋_GB2312" w:eastAsia="仿宋_GB2312"/>
          <w:sz w:val="28"/>
          <w:szCs w:val="28"/>
        </w:rPr>
        <w:t>要求</w:t>
      </w:r>
      <w:r>
        <w:rPr>
          <w:rFonts w:hint="eastAsia" w:ascii="仿宋_GB2312" w:hAnsi="Calibri" w:eastAsia="仿宋_GB2312" w:cs="Times New Roman"/>
          <w:sz w:val="28"/>
          <w:szCs w:val="28"/>
        </w:rPr>
        <w:t>，严控一般性支出。</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highlight w:val="none"/>
        </w:rPr>
      </w:pPr>
      <w:r>
        <w:rPr>
          <w:rFonts w:hint="eastAsia" w:ascii="仿宋_GB2312" w:eastAsia="仿宋_GB2312"/>
          <w:sz w:val="28"/>
          <w:szCs w:val="28"/>
          <w:highlight w:val="none"/>
        </w:rPr>
        <w:t>（一</w:t>
      </w:r>
      <w:r>
        <w:rPr>
          <w:rFonts w:ascii="仿宋_GB2312" w:eastAsia="仿宋_GB2312"/>
          <w:sz w:val="28"/>
          <w:szCs w:val="28"/>
          <w:highlight w:val="none"/>
        </w:rPr>
        <w:t>）</w:t>
      </w:r>
      <w:r>
        <w:rPr>
          <w:rFonts w:hint="eastAsia" w:ascii="仿宋_GB2312" w:eastAsia="仿宋_GB2312"/>
          <w:sz w:val="28"/>
          <w:szCs w:val="28"/>
          <w:highlight w:val="none"/>
        </w:rPr>
        <w:t>收入决算</w:t>
      </w:r>
      <w:r>
        <w:rPr>
          <w:rFonts w:ascii="仿宋_GB2312" w:eastAsia="仿宋_GB2312"/>
          <w:sz w:val="28"/>
          <w:szCs w:val="28"/>
          <w:highlight w:val="none"/>
        </w:rPr>
        <w:t>说明</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rPr>
      </w:pPr>
      <w:r>
        <w:rPr>
          <w:rFonts w:hint="eastAsia" w:ascii="仿宋_GB2312" w:eastAsia="仿宋_GB2312"/>
          <w:sz w:val="28"/>
          <w:szCs w:val="28"/>
          <w:lang w:eastAsia="zh-CN"/>
        </w:rPr>
        <w:t>2025</w:t>
      </w:r>
      <w:r>
        <w:rPr>
          <w:rFonts w:hint="eastAsia" w:ascii="仿宋_GB2312" w:eastAsia="仿宋_GB2312"/>
          <w:sz w:val="28"/>
          <w:szCs w:val="28"/>
        </w:rPr>
        <w:t>年度本年收入合计</w:t>
      </w:r>
      <w:r>
        <w:rPr>
          <w:rFonts w:ascii="仿宋_GB2312" w:eastAsia="仿宋_GB2312"/>
          <w:sz w:val="28"/>
          <w:szCs w:val="28"/>
        </w:rPr>
        <w:t>9787.32</w:t>
      </w:r>
      <w:r>
        <w:rPr>
          <w:rFonts w:hint="eastAsia" w:ascii="仿宋_GB2312" w:eastAsia="仿宋_GB2312"/>
          <w:sz w:val="28"/>
          <w:szCs w:val="28"/>
        </w:rPr>
        <w:t>万元，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9.11</w:t>
      </w:r>
      <w:r>
        <w:rPr>
          <w:rFonts w:hint="eastAsia" w:ascii="仿宋_GB2312" w:eastAsia="仿宋_GB2312"/>
          <w:sz w:val="28"/>
          <w:szCs w:val="28"/>
        </w:rPr>
        <w:t>万元，下降</w:t>
      </w:r>
      <w:r>
        <w:rPr>
          <w:rFonts w:hint="eastAsia" w:ascii="仿宋_GB2312" w:eastAsia="仿宋_GB2312"/>
          <w:sz w:val="28"/>
          <w:szCs w:val="28"/>
          <w:lang w:val="en-US" w:eastAsia="zh-CN"/>
        </w:rPr>
        <w:t>0.09</w:t>
      </w:r>
      <w:r>
        <w:rPr>
          <w:rFonts w:hint="eastAsia" w:ascii="仿宋_GB2312" w:eastAsia="仿宋_GB2312"/>
          <w:sz w:val="28"/>
          <w:szCs w:val="28"/>
        </w:rPr>
        <w:t>%。</w:t>
      </w:r>
    </w:p>
    <w:p>
      <w:pPr>
        <w:keepNext w:val="0"/>
        <w:keepLines w:val="0"/>
        <w:pageBreakBefore w:val="0"/>
        <w:widowControl w:val="0"/>
        <w:numPr>
          <w:ilvl w:val="0"/>
          <w:numId w:val="0"/>
        </w:numPr>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lang w:eastAsia="zh-CN"/>
        </w:rPr>
      </w:pPr>
      <w:r>
        <w:rPr>
          <w:rFonts w:hint="eastAsia" w:ascii="仿宋_GB2312" w:eastAsia="仿宋_GB2312"/>
          <w:sz w:val="28"/>
          <w:szCs w:val="28"/>
          <w:lang w:val="en-US" w:eastAsia="zh-CN"/>
        </w:rPr>
        <w:t>1.</w:t>
      </w:r>
      <w:r>
        <w:rPr>
          <w:rFonts w:hint="eastAsia" w:ascii="仿宋_GB2312" w:eastAsia="仿宋_GB2312"/>
          <w:sz w:val="28"/>
          <w:szCs w:val="28"/>
        </w:rPr>
        <w:t>财政拨款收入</w:t>
      </w:r>
      <w:r>
        <w:rPr>
          <w:rFonts w:ascii="仿宋_GB2312" w:eastAsia="仿宋_GB2312"/>
          <w:sz w:val="28"/>
          <w:szCs w:val="28"/>
        </w:rPr>
        <w:t>9787.32</w:t>
      </w:r>
      <w:r>
        <w:rPr>
          <w:rFonts w:hint="eastAsia" w:ascii="仿宋_GB2312" w:eastAsia="仿宋_GB2312"/>
          <w:sz w:val="28"/>
          <w:szCs w:val="28"/>
        </w:rPr>
        <w:t>万元，占收入合计的</w:t>
      </w:r>
      <w:r>
        <w:rPr>
          <w:rFonts w:hint="eastAsia" w:ascii="仿宋_GB2312" w:eastAsia="仿宋_GB2312"/>
          <w:sz w:val="28"/>
          <w:szCs w:val="28"/>
          <w:lang w:eastAsia="zh-CN"/>
        </w:rPr>
        <w:t>100%。</w:t>
      </w:r>
      <w:r>
        <w:rPr>
          <w:rFonts w:hint="eastAsia" w:ascii="仿宋_GB2312" w:eastAsia="仿宋_GB2312"/>
          <w:sz w:val="28"/>
          <w:szCs w:val="28"/>
        </w:rPr>
        <w:t>其中：</w:t>
      </w:r>
      <w:r>
        <w:rPr>
          <w:rFonts w:hint="eastAsia" w:ascii="仿宋_GB2312" w:eastAsia="仿宋_GB2312"/>
          <w:sz w:val="28"/>
          <w:szCs w:val="28"/>
          <w:lang w:eastAsia="zh-CN"/>
        </w:rPr>
        <w:t>一般公共预算财政拨款收入</w:t>
      </w:r>
      <w:r>
        <w:rPr>
          <w:rFonts w:ascii="仿宋_GB2312" w:eastAsia="仿宋_GB2312"/>
          <w:sz w:val="28"/>
          <w:szCs w:val="28"/>
        </w:rPr>
        <w:t>9787.32</w:t>
      </w:r>
      <w:r>
        <w:rPr>
          <w:rFonts w:hint="eastAsia" w:ascii="仿宋_GB2312" w:eastAsia="仿宋_GB2312"/>
          <w:sz w:val="28"/>
          <w:szCs w:val="28"/>
        </w:rPr>
        <w:t>万元，占收入合计的</w:t>
      </w:r>
      <w:r>
        <w:rPr>
          <w:rFonts w:hint="eastAsia" w:ascii="仿宋_GB2312" w:eastAsia="仿宋_GB2312"/>
          <w:sz w:val="28"/>
          <w:szCs w:val="28"/>
          <w:lang w:eastAsia="zh-CN"/>
        </w:rPr>
        <w:t>100</w:t>
      </w:r>
      <w:r>
        <w:rPr>
          <w:rFonts w:hint="eastAsia" w:ascii="仿宋_GB2312" w:eastAsia="仿宋_GB2312"/>
          <w:sz w:val="28"/>
          <w:szCs w:val="28"/>
        </w:rPr>
        <w:t>%；</w:t>
      </w:r>
      <w:r>
        <w:rPr>
          <w:rFonts w:hint="eastAsia" w:ascii="仿宋_GB2312" w:eastAsia="仿宋_GB2312"/>
          <w:sz w:val="28"/>
          <w:szCs w:val="28"/>
          <w:lang w:eastAsia="zh-CN"/>
        </w:rPr>
        <w:t>政府性基金预算财政拨款收入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r>
        <w:rPr>
          <w:rFonts w:hint="eastAsia" w:ascii="仿宋_GB2312" w:eastAsia="仿宋_GB2312"/>
          <w:sz w:val="28"/>
          <w:szCs w:val="28"/>
          <w:lang w:eastAsia="zh-CN"/>
        </w:rPr>
        <w:t>国有资本经营预算财政拨款收入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p>
    <w:p>
      <w:pPr>
        <w:keepNext w:val="0"/>
        <w:keepLines w:val="0"/>
        <w:pageBreakBefore w:val="0"/>
        <w:widowControl w:val="0"/>
        <w:numPr>
          <w:ilvl w:val="0"/>
          <w:numId w:val="0"/>
        </w:numPr>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rPr>
      </w:pPr>
      <w:r>
        <w:rPr>
          <w:rFonts w:hint="eastAsia" w:ascii="仿宋_GB2312" w:eastAsia="仿宋_GB2312"/>
          <w:sz w:val="28"/>
          <w:szCs w:val="28"/>
          <w:lang w:val="en-US" w:eastAsia="zh-CN"/>
        </w:rPr>
        <w:t>2.</w:t>
      </w:r>
      <w:r>
        <w:rPr>
          <w:rFonts w:hint="eastAsia" w:ascii="仿宋_GB2312" w:eastAsia="仿宋_GB2312"/>
          <w:sz w:val="28"/>
          <w:szCs w:val="28"/>
        </w:rPr>
        <w:t>上级补助收入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p>
    <w:p>
      <w:pPr>
        <w:keepNext w:val="0"/>
        <w:keepLines w:val="0"/>
        <w:pageBreakBefore w:val="0"/>
        <w:widowControl w:val="0"/>
        <w:numPr>
          <w:ilvl w:val="0"/>
          <w:numId w:val="0"/>
        </w:numPr>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hint="eastAsia" w:ascii="仿宋_GB2312" w:eastAsia="仿宋_GB2312"/>
          <w:sz w:val="28"/>
          <w:szCs w:val="28"/>
        </w:rPr>
      </w:pPr>
      <w:r>
        <w:rPr>
          <w:rFonts w:hint="eastAsia" w:ascii="仿宋_GB2312" w:eastAsia="仿宋_GB2312"/>
          <w:sz w:val="28"/>
          <w:szCs w:val="28"/>
          <w:lang w:val="en-US" w:eastAsia="zh-CN"/>
        </w:rPr>
        <w:t>3.</w:t>
      </w:r>
      <w:r>
        <w:rPr>
          <w:rFonts w:hint="eastAsia" w:ascii="仿宋_GB2312" w:eastAsia="仿宋_GB2312"/>
          <w:sz w:val="28"/>
          <w:szCs w:val="28"/>
        </w:rPr>
        <w:t>事业收入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ascii="仿宋_GB2312" w:eastAsia="仿宋_GB2312"/>
          <w:sz w:val="28"/>
          <w:szCs w:val="28"/>
        </w:rPr>
      </w:pPr>
      <w:r>
        <w:rPr>
          <w:rFonts w:hint="eastAsia" w:ascii="仿宋_GB2312" w:eastAsia="仿宋_GB2312"/>
          <w:sz w:val="28"/>
          <w:szCs w:val="28"/>
        </w:rPr>
        <w:t>4.经营收入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ascii="仿宋_GB2312" w:eastAsia="仿宋_GB2312"/>
          <w:sz w:val="28"/>
          <w:szCs w:val="28"/>
        </w:rPr>
      </w:pPr>
      <w:r>
        <w:rPr>
          <w:rFonts w:hint="eastAsia" w:ascii="仿宋_GB2312" w:eastAsia="仿宋_GB2312"/>
          <w:sz w:val="28"/>
          <w:szCs w:val="28"/>
        </w:rPr>
        <w:t>5.附属单位上缴收入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p>
    <w:p>
      <w:pPr>
        <w:keepNext w:val="0"/>
        <w:keepLines w:val="0"/>
        <w:pageBreakBefore w:val="0"/>
        <w:widowControl w:val="0"/>
        <w:tabs>
          <w:tab w:val="center" w:pos="6979"/>
        </w:tabs>
        <w:kinsoku/>
        <w:wordWrap/>
        <w:overflowPunct/>
        <w:topLinePunct w:val="0"/>
        <w:autoSpaceDE/>
        <w:autoSpaceDN/>
        <w:bidi w:val="0"/>
        <w:spacing w:line="580" w:lineRule="exact"/>
        <w:ind w:left="0" w:leftChars="0" w:right="0" w:rightChars="0" w:firstLine="560" w:firstLineChars="200"/>
        <w:jc w:val="both"/>
        <w:textAlignment w:val="auto"/>
        <w:outlineLvl w:val="9"/>
        <w:rPr>
          <w:rFonts w:ascii="仿宋_GB2312" w:eastAsia="仿宋_GB2312"/>
          <w:sz w:val="28"/>
          <w:szCs w:val="28"/>
        </w:rPr>
      </w:pPr>
      <w:r>
        <w:rPr>
          <w:rFonts w:hint="eastAsia" w:ascii="仿宋_GB2312" w:eastAsia="仿宋_GB2312"/>
          <w:sz w:val="28"/>
          <w:szCs w:val="28"/>
        </w:rPr>
        <w:t>6.其他收入</w:t>
      </w:r>
      <w:r>
        <w:rPr>
          <w:rFonts w:ascii="仿宋_GB2312" w:eastAsia="仿宋_GB2312"/>
          <w:sz w:val="28"/>
          <w:szCs w:val="28"/>
        </w:rPr>
        <w:t>0</w:t>
      </w:r>
      <w:r>
        <w:rPr>
          <w:rFonts w:hint="eastAsia" w:ascii="仿宋_GB2312" w:eastAsia="仿宋_GB2312"/>
          <w:sz w:val="28"/>
          <w:szCs w:val="28"/>
        </w:rPr>
        <w:t>万元，占收入合计的</w:t>
      </w:r>
      <w:r>
        <w:rPr>
          <w:rFonts w:hint="eastAsia" w:ascii="仿宋_GB2312" w:eastAsia="仿宋_GB2312"/>
          <w:sz w:val="28"/>
          <w:szCs w:val="28"/>
          <w:lang w:eastAsia="zh-CN"/>
        </w:rPr>
        <w:t>0</w:t>
      </w:r>
      <w:r>
        <w:rPr>
          <w:rFonts w:hint="eastAsia" w:ascii="仿宋_GB2312" w:eastAsia="仿宋_GB2312"/>
          <w:sz w:val="28"/>
          <w:szCs w:val="28"/>
        </w:rPr>
        <w:t>%。</w:t>
      </w:r>
    </w:p>
    <w:p>
      <w:pPr>
        <w:pStyle w:val="2"/>
        <w:ind w:firstLine="0"/>
        <w:jc w:val="center"/>
      </w:pPr>
      <w:r>
        <w:rPr>
          <w:rFonts w:hint="eastAsia" w:ascii="仿宋_GB2312" w:eastAsia="仿宋_GB2312"/>
          <w:color w:val="000000"/>
          <w:sz w:val="32"/>
          <w:szCs w:val="32"/>
          <w:highlight w:val="none"/>
          <w:lang w:val="en-US" w:eastAsia="zh-CN"/>
        </w:rPr>
        <w:t>图1：收入决算</w:t>
      </w:r>
    </w:p>
    <w:p>
      <w:pPr>
        <w:pStyle w:val="3"/>
        <w:ind w:firstLine="420"/>
        <w:jc w:val="center"/>
      </w:pPr>
      <w:r>
        <w:drawing>
          <wp:inline distT="0" distB="0" distL="0" distR="0">
            <wp:extent cx="4036695" cy="2328545"/>
            <wp:effectExtent l="4445" t="4445" r="16510" b="10160"/>
            <wp:docPr id="3" name="图表 3" title="{{pieChart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pPr>
        <w:keepNext w:val="0"/>
        <w:keepLines w:val="0"/>
        <w:pageBreakBefore w:val="0"/>
        <w:widowControl w:val="0"/>
        <w:tabs>
          <w:tab w:val="center" w:pos="6979"/>
        </w:tabs>
        <w:kinsoku/>
        <w:wordWrap/>
        <w:overflowPunct/>
        <w:topLinePunct w:val="0"/>
        <w:autoSpaceDE/>
        <w:autoSpaceDN/>
        <w:bidi w:val="0"/>
        <w:adjustRightInd/>
        <w:snapToGrid/>
        <w:spacing w:line="580" w:lineRule="exact"/>
        <w:ind w:left="0" w:leftChars="0" w:right="0" w:rightChars="0" w:firstLine="560" w:firstLineChars="200"/>
        <w:jc w:val="both"/>
        <w:textAlignment w:val="auto"/>
        <w:outlineLvl w:val="9"/>
        <w:rPr>
          <w:rFonts w:hint="eastAsia" w:ascii="仿宋_GB2312" w:eastAsia="仿宋_GB2312"/>
          <w:sz w:val="28"/>
          <w:szCs w:val="28"/>
        </w:rPr>
      </w:pPr>
      <w:r>
        <w:rPr>
          <w:rFonts w:hint="eastAsia" w:ascii="仿宋_GB2312" w:eastAsia="仿宋_GB2312"/>
          <w:sz w:val="28"/>
          <w:szCs w:val="28"/>
        </w:rPr>
        <w:t>（二</w:t>
      </w:r>
      <w:r>
        <w:rPr>
          <w:rFonts w:ascii="仿宋_GB2312" w:eastAsia="仿宋_GB2312"/>
          <w:sz w:val="28"/>
          <w:szCs w:val="28"/>
        </w:rPr>
        <w:t>）</w:t>
      </w:r>
      <w:r>
        <w:rPr>
          <w:rFonts w:hint="eastAsia" w:ascii="仿宋_GB2312" w:eastAsia="仿宋_GB2312"/>
          <w:sz w:val="28"/>
          <w:szCs w:val="28"/>
        </w:rPr>
        <w:t>支出决算</w:t>
      </w:r>
      <w:r>
        <w:rPr>
          <w:rFonts w:ascii="仿宋_GB2312" w:eastAsia="仿宋_GB2312"/>
          <w:sz w:val="28"/>
          <w:szCs w:val="28"/>
        </w:rPr>
        <w:t>说明</w:t>
      </w:r>
    </w:p>
    <w:p>
      <w:pPr>
        <w:keepNext w:val="0"/>
        <w:keepLines w:val="0"/>
        <w:pageBreakBefore w:val="0"/>
        <w:widowControl w:val="0"/>
        <w:tabs>
          <w:tab w:val="center" w:pos="6979"/>
        </w:tabs>
        <w:kinsoku/>
        <w:wordWrap/>
        <w:overflowPunct/>
        <w:topLinePunct w:val="0"/>
        <w:autoSpaceDE/>
        <w:autoSpaceDN/>
        <w:bidi w:val="0"/>
        <w:adjustRightInd/>
        <w:snapToGrid/>
        <w:spacing w:line="580" w:lineRule="exact"/>
        <w:ind w:left="0" w:leftChars="0" w:right="0" w:rightChars="0" w:firstLine="560" w:firstLineChars="200"/>
        <w:jc w:val="both"/>
        <w:textAlignment w:val="auto"/>
        <w:outlineLvl w:val="9"/>
        <w:rPr>
          <w:rFonts w:hint="eastAsia" w:ascii="仿宋_GB2312" w:eastAsia="仿宋_GB2312"/>
          <w:sz w:val="28"/>
          <w:szCs w:val="28"/>
        </w:rPr>
      </w:pPr>
      <w:r>
        <w:rPr>
          <w:rFonts w:hint="eastAsia" w:ascii="仿宋_GB2312" w:eastAsia="仿宋_GB2312"/>
          <w:sz w:val="28"/>
          <w:szCs w:val="28"/>
          <w:lang w:eastAsia="zh-CN"/>
        </w:rPr>
        <w:t>2025</w:t>
      </w:r>
      <w:r>
        <w:rPr>
          <w:rFonts w:hint="eastAsia" w:ascii="仿宋_GB2312" w:eastAsia="仿宋_GB2312"/>
          <w:sz w:val="28"/>
          <w:szCs w:val="28"/>
        </w:rPr>
        <w:t>年度本年支出合计</w:t>
      </w:r>
      <w:r>
        <w:rPr>
          <w:rFonts w:ascii="仿宋_GB2312" w:eastAsia="仿宋_GB2312"/>
          <w:sz w:val="28"/>
          <w:szCs w:val="28"/>
        </w:rPr>
        <w:t>9787.32</w:t>
      </w:r>
      <w:r>
        <w:rPr>
          <w:rFonts w:hint="eastAsia" w:ascii="仿宋_GB2312" w:eastAsia="仿宋_GB2312"/>
          <w:sz w:val="28"/>
          <w:szCs w:val="28"/>
        </w:rPr>
        <w:t>万元，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9.11</w:t>
      </w:r>
      <w:r>
        <w:rPr>
          <w:rFonts w:hint="eastAsia" w:ascii="仿宋_GB2312" w:eastAsia="仿宋_GB2312"/>
          <w:sz w:val="28"/>
          <w:szCs w:val="28"/>
        </w:rPr>
        <w:t>万元，下降</w:t>
      </w:r>
      <w:r>
        <w:rPr>
          <w:rFonts w:hint="eastAsia" w:ascii="仿宋_GB2312" w:eastAsia="仿宋_GB2312"/>
          <w:sz w:val="28"/>
          <w:szCs w:val="28"/>
          <w:lang w:val="en-US" w:eastAsia="zh-CN"/>
        </w:rPr>
        <w:t>0.09</w:t>
      </w:r>
      <w:r>
        <w:rPr>
          <w:rFonts w:hint="eastAsia" w:ascii="仿宋_GB2312" w:eastAsia="仿宋_GB2312"/>
          <w:sz w:val="28"/>
          <w:szCs w:val="28"/>
        </w:rPr>
        <w:t>%，其中：基本支出</w:t>
      </w:r>
      <w:r>
        <w:rPr>
          <w:rFonts w:ascii="仿宋_GB2312" w:eastAsia="仿宋_GB2312"/>
          <w:sz w:val="28"/>
          <w:szCs w:val="28"/>
        </w:rPr>
        <w:t>5394.55</w:t>
      </w:r>
      <w:r>
        <w:rPr>
          <w:rFonts w:hint="eastAsia" w:ascii="仿宋_GB2312" w:eastAsia="仿宋_GB2312"/>
          <w:sz w:val="28"/>
          <w:szCs w:val="28"/>
        </w:rPr>
        <w:t>万元，占支出合计的</w:t>
      </w:r>
      <w:r>
        <w:rPr>
          <w:rFonts w:hint="eastAsia" w:ascii="仿宋_GB2312" w:eastAsia="仿宋_GB2312"/>
          <w:sz w:val="28"/>
          <w:szCs w:val="28"/>
          <w:lang w:eastAsia="zh-CN"/>
        </w:rPr>
        <w:t>55.12</w:t>
      </w:r>
      <w:r>
        <w:rPr>
          <w:rFonts w:hint="eastAsia" w:ascii="仿宋_GB2312" w:eastAsia="仿宋_GB2312"/>
          <w:sz w:val="28"/>
          <w:szCs w:val="28"/>
        </w:rPr>
        <w:t>%；项目支出</w:t>
      </w:r>
      <w:r>
        <w:rPr>
          <w:rFonts w:ascii="仿宋_GB2312" w:eastAsia="仿宋_GB2312"/>
          <w:sz w:val="28"/>
          <w:szCs w:val="28"/>
        </w:rPr>
        <w:t>4392.77</w:t>
      </w:r>
      <w:r>
        <w:rPr>
          <w:rFonts w:hint="eastAsia" w:ascii="仿宋_GB2312" w:eastAsia="仿宋_GB2312"/>
          <w:sz w:val="28"/>
          <w:szCs w:val="28"/>
        </w:rPr>
        <w:t>万元，占支出合计的</w:t>
      </w:r>
      <w:r>
        <w:rPr>
          <w:rFonts w:hint="eastAsia" w:ascii="仿宋_GB2312" w:eastAsia="仿宋_GB2312"/>
          <w:sz w:val="28"/>
          <w:szCs w:val="28"/>
          <w:lang w:eastAsia="zh-CN"/>
        </w:rPr>
        <w:t>44.88</w:t>
      </w:r>
      <w:r>
        <w:rPr>
          <w:rFonts w:hint="eastAsia" w:ascii="仿宋_GB2312" w:eastAsia="仿宋_GB2312"/>
          <w:sz w:val="28"/>
          <w:szCs w:val="28"/>
        </w:rPr>
        <w:t>%;上缴上级支出</w:t>
      </w:r>
      <w:r>
        <w:rPr>
          <w:rFonts w:ascii="仿宋_GB2312" w:eastAsia="仿宋_GB2312"/>
          <w:sz w:val="28"/>
          <w:szCs w:val="28"/>
        </w:rPr>
        <w:t>0</w:t>
      </w:r>
      <w:r>
        <w:rPr>
          <w:rFonts w:hint="eastAsia" w:ascii="仿宋_GB2312" w:eastAsia="仿宋_GB2312"/>
          <w:sz w:val="28"/>
          <w:szCs w:val="28"/>
        </w:rPr>
        <w:t>万元，占支出合计的</w:t>
      </w:r>
      <w:r>
        <w:rPr>
          <w:rFonts w:hint="eastAsia" w:ascii="仿宋_GB2312" w:eastAsia="仿宋_GB2312"/>
          <w:sz w:val="28"/>
          <w:szCs w:val="28"/>
          <w:lang w:eastAsia="zh-CN"/>
        </w:rPr>
        <w:t>0</w:t>
      </w:r>
      <w:r>
        <w:rPr>
          <w:rFonts w:hint="eastAsia" w:ascii="仿宋_GB2312" w:eastAsia="仿宋_GB2312"/>
          <w:sz w:val="28"/>
          <w:szCs w:val="28"/>
        </w:rPr>
        <w:t>%；经营支出</w:t>
      </w:r>
      <w:r>
        <w:rPr>
          <w:rFonts w:ascii="仿宋_GB2312" w:eastAsia="仿宋_GB2312"/>
          <w:sz w:val="28"/>
          <w:szCs w:val="28"/>
        </w:rPr>
        <w:t>0</w:t>
      </w:r>
      <w:r>
        <w:rPr>
          <w:rFonts w:hint="eastAsia" w:ascii="仿宋_GB2312" w:eastAsia="仿宋_GB2312"/>
          <w:sz w:val="28"/>
          <w:szCs w:val="28"/>
        </w:rPr>
        <w:t>万元，占支出合计的</w:t>
      </w:r>
      <w:r>
        <w:rPr>
          <w:rFonts w:hint="eastAsia" w:ascii="仿宋_GB2312" w:eastAsia="仿宋_GB2312"/>
          <w:sz w:val="28"/>
          <w:szCs w:val="28"/>
          <w:lang w:eastAsia="zh-CN"/>
        </w:rPr>
        <w:t>0</w:t>
      </w:r>
      <w:r>
        <w:rPr>
          <w:rFonts w:hint="eastAsia" w:ascii="仿宋_GB2312" w:eastAsia="仿宋_GB2312"/>
          <w:sz w:val="28"/>
          <w:szCs w:val="28"/>
        </w:rPr>
        <w:t>%；对附属单位补助支出</w:t>
      </w:r>
      <w:r>
        <w:rPr>
          <w:rFonts w:ascii="仿宋_GB2312" w:eastAsia="仿宋_GB2312"/>
          <w:sz w:val="28"/>
          <w:szCs w:val="28"/>
        </w:rPr>
        <w:t>0</w:t>
      </w:r>
      <w:r>
        <w:rPr>
          <w:rFonts w:hint="eastAsia" w:ascii="仿宋_GB2312" w:eastAsia="仿宋_GB2312"/>
          <w:sz w:val="28"/>
          <w:szCs w:val="28"/>
        </w:rPr>
        <w:t>万元，占支出合计的</w:t>
      </w:r>
      <w:r>
        <w:rPr>
          <w:rFonts w:hint="eastAsia" w:ascii="仿宋_GB2312" w:eastAsia="仿宋_GB2312"/>
          <w:sz w:val="28"/>
          <w:szCs w:val="28"/>
          <w:lang w:eastAsia="zh-CN"/>
        </w:rPr>
        <w:t>0</w:t>
      </w:r>
      <w:r>
        <w:rPr>
          <w:rFonts w:hint="eastAsia" w:ascii="仿宋_GB2312" w:eastAsia="仿宋_GB2312"/>
          <w:sz w:val="28"/>
          <w:szCs w:val="28"/>
        </w:rPr>
        <w:t>%。</w:t>
      </w:r>
    </w:p>
    <w:p>
      <w:pPr>
        <w:pStyle w:val="2"/>
        <w:ind w:firstLine="5772" w:firstLineChars="1804"/>
        <w:jc w:val="both"/>
        <w:rPr>
          <w:rFonts w:ascii="仿宋_GB2312" w:eastAsia="仿宋_GB2312"/>
          <w:color w:val="000000"/>
          <w:sz w:val="32"/>
        </w:rPr>
      </w:pPr>
      <w:r>
        <w:rPr>
          <w:rFonts w:hint="eastAsia" w:ascii="仿宋_GB2312" w:eastAsia="仿宋_GB2312"/>
          <w:color w:val="000000"/>
          <w:sz w:val="32"/>
        </w:rPr>
        <w:t>图2：支出</w:t>
      </w:r>
      <w:r>
        <w:rPr>
          <w:rFonts w:hint="eastAsia" w:ascii="仿宋_GB2312" w:eastAsia="仿宋_GB2312"/>
          <w:color w:val="000000"/>
          <w:sz w:val="32"/>
          <w:lang w:val="en-US" w:eastAsia="zh-CN"/>
        </w:rPr>
        <w:t>决算</w:t>
      </w:r>
    </w:p>
    <w:p>
      <w:pPr>
        <w:jc w:val="center"/>
        <w:rPr>
          <w:rFonts w:ascii="黑体" w:eastAsia="黑体"/>
          <w:b/>
          <w:sz w:val="28"/>
          <w:szCs w:val="28"/>
        </w:rPr>
      </w:pPr>
      <w:r>
        <w:drawing>
          <wp:inline distT="0" distB="0" distL="114300" distR="114300">
            <wp:extent cx="4572000" cy="2743200"/>
            <wp:effectExtent l="4445" t="4445" r="14605" b="14605"/>
            <wp:docPr id="1" name="图表 3" title="{{pieChart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黑体" w:eastAsia="黑体"/>
          <w:b/>
          <w:sz w:val="28"/>
          <w:szCs w:val="28"/>
        </w:rPr>
        <w:t>三</w:t>
      </w:r>
      <w:r>
        <w:rPr>
          <w:rFonts w:ascii="黑体" w:eastAsia="黑体"/>
          <w:b/>
          <w:sz w:val="28"/>
          <w:szCs w:val="28"/>
        </w:rPr>
        <w:t>、财政拨款</w:t>
      </w:r>
      <w:r>
        <w:rPr>
          <w:rFonts w:hint="eastAsia" w:ascii="黑体" w:eastAsia="黑体"/>
          <w:b/>
          <w:sz w:val="28"/>
          <w:szCs w:val="28"/>
        </w:rPr>
        <w:t>收入支出决算</w:t>
      </w:r>
      <w:r>
        <w:rPr>
          <w:rFonts w:ascii="黑体" w:eastAsia="黑体"/>
          <w:b/>
          <w:sz w:val="28"/>
          <w:szCs w:val="28"/>
        </w:rPr>
        <w:t>总体情况说明</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仿宋_GB2312" w:eastAsia="仿宋_GB2312"/>
          <w:sz w:val="28"/>
          <w:szCs w:val="28"/>
          <w:shd w:val="clear" w:color="auto" w:fill="auto"/>
        </w:rPr>
      </w:pPr>
      <w:r>
        <w:rPr>
          <w:rFonts w:hint="eastAsia" w:ascii="仿宋_GB2312" w:eastAsia="仿宋_GB2312"/>
          <w:sz w:val="28"/>
          <w:szCs w:val="28"/>
          <w:lang w:eastAsia="zh-CN"/>
        </w:rPr>
        <w:t>2025</w:t>
      </w:r>
      <w:r>
        <w:rPr>
          <w:rFonts w:hint="eastAsia" w:ascii="仿宋_GB2312" w:eastAsia="仿宋_GB2312"/>
          <w:sz w:val="28"/>
          <w:szCs w:val="28"/>
        </w:rPr>
        <w:t>年度财政拨款收、</w:t>
      </w:r>
      <w:r>
        <w:rPr>
          <w:rFonts w:ascii="仿宋_GB2312" w:eastAsia="仿宋_GB2312"/>
          <w:sz w:val="28"/>
          <w:szCs w:val="28"/>
        </w:rPr>
        <w:t>支</w:t>
      </w:r>
      <w:r>
        <w:rPr>
          <w:rFonts w:hint="eastAsia" w:ascii="仿宋_GB2312" w:eastAsia="仿宋_GB2312"/>
          <w:sz w:val="28"/>
          <w:szCs w:val="28"/>
        </w:rPr>
        <w:t>总计</w:t>
      </w:r>
      <w:r>
        <w:rPr>
          <w:rFonts w:ascii="仿宋_GB2312" w:eastAsia="仿宋_GB2312"/>
          <w:sz w:val="28"/>
          <w:szCs w:val="28"/>
        </w:rPr>
        <w:t>9787.32</w:t>
      </w:r>
      <w:r>
        <w:rPr>
          <w:rFonts w:hint="eastAsia" w:ascii="仿宋_GB2312" w:eastAsia="仿宋_GB2312"/>
          <w:sz w:val="28"/>
          <w:szCs w:val="28"/>
        </w:rPr>
        <w:t>万元，</w:t>
      </w:r>
      <w:r>
        <w:rPr>
          <w:rFonts w:ascii="仿宋_GB2312" w:eastAsia="仿宋_GB2312"/>
          <w:sz w:val="28"/>
          <w:szCs w:val="28"/>
        </w:rPr>
        <w:t>比上年</w:t>
      </w:r>
      <w:r>
        <w:rPr>
          <w:rFonts w:hint="eastAsia" w:ascii="仿宋_GB2312" w:eastAsia="仿宋_GB2312"/>
          <w:sz w:val="28"/>
          <w:szCs w:val="28"/>
        </w:rPr>
        <w:t>减少</w:t>
      </w:r>
      <w:r>
        <w:rPr>
          <w:rFonts w:hint="eastAsia" w:ascii="仿宋_GB2312" w:eastAsia="仿宋_GB2312"/>
          <w:sz w:val="28"/>
          <w:szCs w:val="28"/>
          <w:lang w:val="en-US" w:eastAsia="zh-CN"/>
        </w:rPr>
        <w:t>9.11</w:t>
      </w:r>
      <w:r>
        <w:rPr>
          <w:rFonts w:hint="eastAsia" w:ascii="仿宋_GB2312" w:eastAsia="仿宋_GB2312"/>
          <w:sz w:val="28"/>
          <w:szCs w:val="28"/>
        </w:rPr>
        <w:t>万元，下降</w:t>
      </w:r>
      <w:r>
        <w:rPr>
          <w:rFonts w:hint="eastAsia" w:ascii="仿宋_GB2312" w:eastAsia="仿宋_GB2312"/>
          <w:sz w:val="28"/>
          <w:szCs w:val="28"/>
          <w:lang w:val="en-US" w:eastAsia="zh-CN"/>
        </w:rPr>
        <w:t>0.09</w:t>
      </w:r>
      <w:r>
        <w:rPr>
          <w:rFonts w:hint="eastAsia" w:ascii="仿宋_GB2312" w:eastAsia="仿宋_GB2312"/>
          <w:sz w:val="28"/>
          <w:szCs w:val="28"/>
        </w:rPr>
        <w:t>%。主要原因：</w:t>
      </w:r>
      <w:r>
        <w:rPr>
          <w:rFonts w:hint="eastAsia" w:ascii="仿宋_GB2312" w:hAnsi="Calibri" w:eastAsia="仿宋_GB2312" w:cs="Times New Roman"/>
          <w:sz w:val="28"/>
          <w:szCs w:val="28"/>
          <w:shd w:val="clear" w:color="auto" w:fill="auto"/>
        </w:rPr>
        <w:t>坚持落实过“紧日子”</w:t>
      </w:r>
      <w:r>
        <w:rPr>
          <w:rFonts w:hint="eastAsia" w:ascii="仿宋_GB2312" w:eastAsia="仿宋_GB2312"/>
          <w:sz w:val="28"/>
          <w:szCs w:val="28"/>
          <w:shd w:val="clear" w:color="auto" w:fill="auto"/>
        </w:rPr>
        <w:t>要求</w:t>
      </w:r>
      <w:r>
        <w:rPr>
          <w:rFonts w:hint="eastAsia" w:ascii="仿宋_GB2312" w:hAnsi="Calibri" w:eastAsia="仿宋_GB2312" w:cs="Times New Roman"/>
          <w:sz w:val="28"/>
          <w:szCs w:val="28"/>
          <w:shd w:val="clear" w:color="auto" w:fill="auto"/>
        </w:rPr>
        <w:t>，严控一般性支出。</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黑体" w:eastAsia="黑体"/>
          <w:b/>
          <w:sz w:val="28"/>
          <w:szCs w:val="28"/>
        </w:rPr>
        <w:t>四、一般公共预算财政拨款支出决算情况说明</w:t>
      </w:r>
    </w:p>
    <w:p>
      <w:pPr>
        <w:keepNext w:val="0"/>
        <w:keepLines w:val="0"/>
        <w:pageBreakBefore w:val="0"/>
        <w:widowControl w:val="0"/>
        <w:kinsoku/>
        <w:wordWrap/>
        <w:overflowPunct/>
        <w:topLinePunct w:val="0"/>
        <w:autoSpaceDE w:val="0"/>
        <w:autoSpaceDN w:val="0"/>
        <w:bidi w:val="0"/>
        <w:adjustRightInd w:val="0"/>
        <w:snapToGrid/>
        <w:spacing w:line="580" w:lineRule="exact"/>
        <w:ind w:left="0" w:leftChars="0" w:right="0" w:rightChars="0" w:firstLine="560" w:firstLineChars="200"/>
        <w:jc w:val="left"/>
        <w:textAlignment w:val="auto"/>
        <w:outlineLvl w:val="9"/>
        <w:rPr>
          <w:rFonts w:hint="eastAsia" w:ascii="仿宋_GB2312" w:eastAsia="仿宋_GB2312"/>
          <w:sz w:val="28"/>
          <w:szCs w:val="28"/>
        </w:rPr>
      </w:pPr>
      <w:r>
        <w:rPr>
          <w:rFonts w:hint="eastAsia" w:ascii="仿宋_GB2312" w:eastAsia="仿宋_GB2312"/>
          <w:sz w:val="28"/>
          <w:szCs w:val="28"/>
        </w:rPr>
        <w:t>（一）一般公共预算财政拨款支出决算总体情况</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lang w:eastAsia="zh-CN"/>
        </w:rPr>
        <w:t>2025</w:t>
      </w:r>
      <w:r>
        <w:rPr>
          <w:rFonts w:hint="eastAsia" w:ascii="仿宋_GB2312" w:eastAsia="仿宋_GB2312"/>
          <w:sz w:val="28"/>
          <w:szCs w:val="28"/>
        </w:rPr>
        <w:t>年度一般公共预算财政拨款支出</w:t>
      </w:r>
      <w:r>
        <w:rPr>
          <w:rFonts w:ascii="仿宋_GB2312" w:eastAsia="仿宋_GB2312"/>
          <w:sz w:val="28"/>
          <w:szCs w:val="28"/>
        </w:rPr>
        <w:t>9787.32</w:t>
      </w:r>
      <w:r>
        <w:rPr>
          <w:rFonts w:hint="eastAsia" w:ascii="仿宋_GB2312" w:eastAsia="仿宋_GB2312"/>
          <w:sz w:val="28"/>
          <w:szCs w:val="28"/>
        </w:rPr>
        <w:t>万元，主要用于以下方面（按大类）：教育支出4.94万元，占本年财政拨款支出0.05%；社会保障和就业支出9410.38万元，占本年财政拨款支出96</w:t>
      </w:r>
      <w:r>
        <w:rPr>
          <w:rFonts w:hint="eastAsia" w:ascii="仿宋_GB2312" w:eastAsia="仿宋_GB2312"/>
          <w:sz w:val="28"/>
          <w:szCs w:val="28"/>
          <w:lang w:val="en-US" w:eastAsia="zh-CN"/>
        </w:rPr>
        <w:t>.</w:t>
      </w:r>
      <w:r>
        <w:rPr>
          <w:rFonts w:hint="eastAsia" w:ascii="仿宋_GB2312" w:eastAsia="仿宋_GB2312"/>
          <w:sz w:val="28"/>
          <w:szCs w:val="28"/>
        </w:rPr>
        <w:t>15%；卫生健康支出372.00万元，占本年财政拨款支出3.80%。</w:t>
      </w:r>
    </w:p>
    <w:p>
      <w:pPr>
        <w:keepNext w:val="0"/>
        <w:keepLines w:val="0"/>
        <w:pageBreakBefore w:val="0"/>
        <w:widowControl w:val="0"/>
        <w:kinsoku/>
        <w:wordWrap/>
        <w:overflowPunct/>
        <w:topLinePunct w:val="0"/>
        <w:autoSpaceDE w:val="0"/>
        <w:autoSpaceDN w:val="0"/>
        <w:bidi w:val="0"/>
        <w:adjustRightInd w:val="0"/>
        <w:snapToGrid/>
        <w:spacing w:line="580" w:lineRule="exact"/>
        <w:ind w:left="0" w:leftChars="0" w:right="0" w:rightChars="0" w:firstLine="560" w:firstLineChars="200"/>
        <w:jc w:val="left"/>
        <w:textAlignment w:val="auto"/>
        <w:outlineLvl w:val="9"/>
        <w:rPr>
          <w:rFonts w:hint="eastAsia" w:ascii="仿宋_GB2312" w:eastAsia="仿宋_GB2312"/>
          <w:sz w:val="28"/>
          <w:szCs w:val="28"/>
        </w:rPr>
      </w:pPr>
      <w:r>
        <w:rPr>
          <w:rFonts w:hint="eastAsia" w:ascii="仿宋_GB2312" w:eastAsia="仿宋_GB2312"/>
          <w:sz w:val="28"/>
          <w:szCs w:val="28"/>
        </w:rPr>
        <w:t>（二）一般公共预算财政拨款支出决算具体情况</w:t>
      </w:r>
    </w:p>
    <w:p>
      <w:pPr>
        <w:keepNext w:val="0"/>
        <w:keepLines w:val="0"/>
        <w:pageBreakBefore w:val="0"/>
        <w:widowControl w:val="0"/>
        <w:kinsoku/>
        <w:wordWrap/>
        <w:overflowPunct/>
        <w:topLinePunct w:val="0"/>
        <w:autoSpaceDE w:val="0"/>
        <w:autoSpaceDN w:val="0"/>
        <w:bidi w:val="0"/>
        <w:adjustRightInd w:val="0"/>
        <w:snapToGrid/>
        <w:spacing w:line="580" w:lineRule="exact"/>
        <w:ind w:left="0" w:leftChars="0" w:right="0" w:rightChars="0" w:firstLine="560" w:firstLineChars="200"/>
        <w:jc w:val="left"/>
        <w:textAlignment w:val="auto"/>
        <w:outlineLvl w:val="9"/>
        <w:rPr>
          <w:rFonts w:ascii="仿宋_GB2312" w:eastAsia="仿宋_GB2312"/>
          <w:sz w:val="28"/>
          <w:szCs w:val="28"/>
        </w:rPr>
      </w:pPr>
      <w:r>
        <w:rPr>
          <w:rFonts w:hint="eastAsia" w:ascii="仿宋_GB2312" w:eastAsia="仿宋_GB2312"/>
          <w:sz w:val="28"/>
          <w:szCs w:val="28"/>
        </w:rPr>
        <w:t>1</w:t>
      </w:r>
      <w:r>
        <w:rPr>
          <w:rFonts w:hint="eastAsia" w:ascii="仿宋_GB2312" w:eastAsia="仿宋_GB2312"/>
          <w:sz w:val="28"/>
          <w:szCs w:val="28"/>
          <w:lang w:val="en-US" w:eastAsia="zh-CN"/>
        </w:rPr>
        <w:t>.</w:t>
      </w:r>
      <w:r>
        <w:rPr>
          <w:rFonts w:hint="eastAsia" w:ascii="仿宋_GB2312" w:eastAsia="仿宋_GB2312"/>
          <w:sz w:val="28"/>
          <w:szCs w:val="28"/>
        </w:rPr>
        <w:t>“教育支出”（类）2025年度年初预算8.27万元，2025年度决算4.94万元，完成年初预算的59.74%。其中：</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ascii="仿宋_GB2312" w:eastAsia="仿宋_GB2312"/>
          <w:sz w:val="28"/>
          <w:szCs w:val="28"/>
          <w:highlight w:val="none"/>
        </w:rPr>
      </w:pPr>
      <w:r>
        <w:rPr>
          <w:rFonts w:hint="eastAsia" w:ascii="仿宋_GB2312" w:eastAsia="仿宋_GB2312"/>
          <w:sz w:val="28"/>
          <w:szCs w:val="28"/>
        </w:rPr>
        <w:t>“进修及培训”（款）2025年度年初预算8.27万元，2025年度决算4.94万元，完成年初预算的59.74%。主要原因：</w:t>
      </w:r>
      <w:r>
        <w:rPr>
          <w:rFonts w:hint="eastAsia" w:ascii="仿宋_GB2312" w:eastAsia="仿宋_GB2312"/>
          <w:sz w:val="28"/>
          <w:szCs w:val="28"/>
          <w:highlight w:val="none"/>
        </w:rPr>
        <w:t>继续落实过“紧日子”要求，压减培训费支出。</w:t>
      </w:r>
    </w:p>
    <w:p>
      <w:pPr>
        <w:keepNext w:val="0"/>
        <w:keepLines w:val="0"/>
        <w:pageBreakBefore w:val="0"/>
        <w:widowControl w:val="0"/>
        <w:kinsoku/>
        <w:wordWrap/>
        <w:overflowPunct/>
        <w:topLinePunct w:val="0"/>
        <w:bidi w:val="0"/>
        <w:snapToGrid/>
        <w:spacing w:line="580" w:lineRule="exact"/>
        <w:ind w:left="0" w:leftChars="0" w:right="0" w:rightChars="0" w:firstLine="560" w:firstLineChars="200"/>
        <w:textAlignment w:val="auto"/>
        <w:outlineLvl w:val="9"/>
        <w:rPr>
          <w:rFonts w:ascii="仿宋_GB2312" w:eastAsia="仿宋_GB2312"/>
          <w:sz w:val="28"/>
          <w:szCs w:val="28"/>
          <w:highlight w:val="none"/>
        </w:rPr>
      </w:pPr>
      <w:r>
        <w:rPr>
          <w:rFonts w:hint="eastAsia" w:ascii="仿宋_GB2312" w:eastAsia="仿宋_GB2312"/>
          <w:sz w:val="28"/>
          <w:szCs w:val="28"/>
          <w:highlight w:val="none"/>
        </w:rPr>
        <w:t>2</w:t>
      </w:r>
      <w:r>
        <w:rPr>
          <w:rFonts w:hint="eastAsia" w:ascii="仿宋_GB2312" w:eastAsia="仿宋_GB2312"/>
          <w:sz w:val="28"/>
          <w:szCs w:val="28"/>
          <w:highlight w:val="none"/>
          <w:lang w:val="en-US" w:eastAsia="zh-CN"/>
        </w:rPr>
        <w:t>.</w:t>
      </w:r>
      <w:r>
        <w:rPr>
          <w:rFonts w:hint="eastAsia" w:ascii="仿宋_GB2312" w:eastAsia="仿宋_GB2312"/>
          <w:sz w:val="28"/>
          <w:szCs w:val="28"/>
          <w:highlight w:val="none"/>
        </w:rPr>
        <w:t>“科学技术支出”（类）2025年度年初预算2.45万元，2025年度决算0万元，完成年初预算的0%。其中：</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仿宋_GB2312" w:eastAsia="仿宋_GB2312"/>
          <w:sz w:val="28"/>
          <w:szCs w:val="28"/>
          <w:highlight w:val="none"/>
        </w:rPr>
      </w:pPr>
      <w:r>
        <w:rPr>
          <w:rFonts w:hint="eastAsia" w:ascii="仿宋_GB2312" w:eastAsia="仿宋_GB2312"/>
          <w:sz w:val="28"/>
          <w:szCs w:val="28"/>
          <w:highlight w:val="none"/>
        </w:rPr>
        <w:t>“科技条件与服务”（款）2025年度年初预算2.45万元，2025年度决算0</w:t>
      </w:r>
      <w:r>
        <w:rPr>
          <w:rFonts w:hint="eastAsia" w:ascii="仿宋_GB2312" w:eastAsia="仿宋_GB2312"/>
          <w:sz w:val="28"/>
          <w:szCs w:val="28"/>
          <w:highlight w:val="none"/>
          <w:lang w:eastAsia="zh-CN"/>
        </w:rPr>
        <w:t>万</w:t>
      </w:r>
      <w:r>
        <w:rPr>
          <w:rFonts w:hint="eastAsia" w:ascii="仿宋_GB2312" w:eastAsia="仿宋_GB2312"/>
          <w:sz w:val="28"/>
          <w:szCs w:val="28"/>
          <w:highlight w:val="none"/>
        </w:rPr>
        <w:t>元。主要原因：结合项目具体支出方向和投入领域，进一步规范使用政府收支分类科目，促进科学化精细化管理。</w:t>
      </w:r>
    </w:p>
    <w:p>
      <w:pPr>
        <w:keepNext w:val="0"/>
        <w:keepLines w:val="0"/>
        <w:pageBreakBefore w:val="0"/>
        <w:widowControl w:val="0"/>
        <w:kinsoku/>
        <w:wordWrap/>
        <w:overflowPunct/>
        <w:topLinePunct w:val="0"/>
        <w:bidi w:val="0"/>
        <w:snapToGrid/>
        <w:spacing w:line="580" w:lineRule="exact"/>
        <w:ind w:left="0" w:leftChars="0" w:right="0" w:rightChars="0" w:firstLine="560" w:firstLineChars="200"/>
        <w:textAlignment w:val="auto"/>
        <w:outlineLvl w:val="9"/>
        <w:rPr>
          <w:rFonts w:ascii="仿宋_GB2312" w:eastAsia="仿宋_GB2312"/>
          <w:sz w:val="28"/>
          <w:szCs w:val="28"/>
          <w:highlight w:val="none"/>
        </w:rPr>
      </w:pPr>
      <w:r>
        <w:rPr>
          <w:rFonts w:hint="eastAsia" w:ascii="仿宋_GB2312" w:eastAsia="仿宋_GB2312"/>
          <w:sz w:val="28"/>
          <w:szCs w:val="28"/>
          <w:highlight w:val="none"/>
        </w:rPr>
        <w:t>3</w:t>
      </w:r>
      <w:r>
        <w:rPr>
          <w:rFonts w:hint="eastAsia" w:ascii="仿宋_GB2312" w:eastAsia="仿宋_GB2312"/>
          <w:sz w:val="28"/>
          <w:szCs w:val="28"/>
          <w:highlight w:val="none"/>
          <w:lang w:val="en-US" w:eastAsia="zh-CN"/>
        </w:rPr>
        <w:t>.</w:t>
      </w:r>
      <w:r>
        <w:rPr>
          <w:rFonts w:hint="eastAsia" w:ascii="仿宋_GB2312" w:eastAsia="仿宋_GB2312"/>
          <w:sz w:val="28"/>
          <w:szCs w:val="28"/>
          <w:highlight w:val="none"/>
        </w:rPr>
        <w:t>“社会保障和就业支出”（类）2025年度年初预算9071.35万元，2025年度决算9410.38万元，完成年初预算的103.74%。其中：</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仿宋_GB2312" w:eastAsia="仿宋_GB2312"/>
          <w:sz w:val="28"/>
          <w:szCs w:val="28"/>
          <w:highlight w:val="none"/>
        </w:rPr>
      </w:pPr>
      <w:r>
        <w:rPr>
          <w:rFonts w:hint="eastAsia" w:ascii="仿宋_GB2312" w:eastAsia="仿宋_GB2312"/>
          <w:sz w:val="28"/>
          <w:szCs w:val="28"/>
          <w:highlight w:val="none"/>
        </w:rPr>
        <w:t>“人力资源和社会保障管理事务”（款）2025年度年初预算8528.94万元，2025年度决算8878.56万元，完成年初预算的104.10%。主要原因：</w:t>
      </w:r>
      <w:r>
        <w:rPr>
          <w:rFonts w:hint="eastAsia" w:ascii="仿宋_GB2312" w:hAnsi="Calibri" w:eastAsia="仿宋_GB2312" w:cs="Times New Roman"/>
          <w:sz w:val="28"/>
          <w:szCs w:val="28"/>
          <w:highlight w:val="none"/>
        </w:rPr>
        <w:t>劳动人事争议仲裁经费支出</w:t>
      </w:r>
      <w:r>
        <w:rPr>
          <w:rFonts w:hint="eastAsia" w:ascii="仿宋_GB2312" w:hAnsi="Calibri" w:eastAsia="仿宋_GB2312" w:cs="Times New Roman"/>
          <w:sz w:val="28"/>
          <w:szCs w:val="28"/>
          <w:highlight w:val="none"/>
          <w:lang w:eastAsia="zh-CN"/>
        </w:rPr>
        <w:t>增加</w:t>
      </w:r>
      <w:r>
        <w:rPr>
          <w:rFonts w:hint="eastAsia" w:ascii="仿宋_GB2312" w:eastAsia="仿宋_GB2312"/>
          <w:sz w:val="28"/>
          <w:szCs w:val="28"/>
          <w:highlight w:val="none"/>
        </w:rPr>
        <w:t>。</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仿宋_GB2312" w:eastAsia="仿宋_GB2312"/>
          <w:sz w:val="28"/>
          <w:szCs w:val="28"/>
          <w:highlight w:val="none"/>
        </w:rPr>
      </w:pPr>
      <w:r>
        <w:rPr>
          <w:rFonts w:hint="eastAsia" w:ascii="仿宋_GB2312" w:eastAsia="仿宋_GB2312"/>
          <w:sz w:val="28"/>
          <w:szCs w:val="28"/>
          <w:highlight w:val="none"/>
        </w:rPr>
        <w:t>“行政事业单位养老支出”（款）2025年度年初预算542.41万元，2025年度决算529.37万元，完成年初预算的97.60%。主要原因：</w:t>
      </w:r>
      <w:r>
        <w:rPr>
          <w:rFonts w:hint="eastAsia" w:ascii="仿宋_GB2312" w:hAnsi="Calibri" w:eastAsia="仿宋_GB2312" w:cs="Times New Roman"/>
          <w:sz w:val="28"/>
          <w:szCs w:val="28"/>
          <w:highlight w:val="none"/>
        </w:rPr>
        <w:t>根据北京市统一政策实施养老保险制度由单位缴纳的职业年金和基本养老保险缴费</w:t>
      </w:r>
      <w:r>
        <w:rPr>
          <w:rFonts w:hint="eastAsia" w:ascii="仿宋_GB2312" w:eastAsia="仿宋_GB2312"/>
          <w:sz w:val="28"/>
          <w:szCs w:val="28"/>
          <w:highlight w:val="none"/>
        </w:rPr>
        <w:t>。</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仿宋_GB2312" w:eastAsia="仿宋_GB2312"/>
          <w:sz w:val="28"/>
          <w:szCs w:val="28"/>
          <w:highlight w:val="none"/>
        </w:rPr>
      </w:pPr>
      <w:r>
        <w:rPr>
          <w:rFonts w:hint="eastAsia" w:ascii="仿宋_GB2312" w:eastAsia="仿宋_GB2312"/>
          <w:sz w:val="28"/>
          <w:szCs w:val="28"/>
          <w:highlight w:val="none"/>
        </w:rPr>
        <w:t>“其他社会保障和就业支出”（款）2025年度年初预算0万元，2025年度决算2.45万元。主要原因：结合项目具体支出方向和投入领域，进一步规范使用政府收支分类科目，促进科学化精细化管理。</w:t>
      </w:r>
      <w:bookmarkStart w:id="0" w:name="_GoBack"/>
      <w:bookmarkEnd w:id="0"/>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ascii="仿宋_GB2312" w:eastAsia="仿宋_GB2312"/>
          <w:sz w:val="28"/>
          <w:szCs w:val="28"/>
        </w:rPr>
      </w:pPr>
      <w:r>
        <w:rPr>
          <w:rFonts w:hint="eastAsia" w:ascii="仿宋_GB2312" w:eastAsia="仿宋_GB2312"/>
          <w:sz w:val="28"/>
          <w:szCs w:val="28"/>
        </w:rPr>
        <w:t>4</w:t>
      </w:r>
      <w:r>
        <w:rPr>
          <w:rFonts w:hint="eastAsia" w:ascii="仿宋_GB2312" w:eastAsia="仿宋_GB2312"/>
          <w:sz w:val="28"/>
          <w:szCs w:val="28"/>
          <w:lang w:val="en-US" w:eastAsia="zh-CN"/>
        </w:rPr>
        <w:t>.</w:t>
      </w:r>
      <w:r>
        <w:rPr>
          <w:rFonts w:hint="eastAsia" w:ascii="仿宋_GB2312" w:eastAsia="仿宋_GB2312"/>
          <w:sz w:val="28"/>
          <w:szCs w:val="28"/>
        </w:rPr>
        <w:t>“卫生健康支出”(类)2025年度年初预算372.61万元，2025年度决算372.00万元，完成年初预算的99.84%。其中：</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ascii="仿宋_GB2312" w:eastAsia="仿宋_GB2312"/>
          <w:sz w:val="28"/>
          <w:szCs w:val="28"/>
        </w:rPr>
      </w:pPr>
      <w:r>
        <w:rPr>
          <w:rFonts w:hint="eastAsia" w:ascii="仿宋_GB2312" w:eastAsia="仿宋_GB2312"/>
          <w:sz w:val="28"/>
          <w:szCs w:val="28"/>
        </w:rPr>
        <w:t>“行政事业单位医疗”（款）2025年度年初预算372.61万元，2025年度决算372.00万元，完成年初预算的99.84%，基本与年初预算持平。</w:t>
      </w:r>
    </w:p>
    <w:p>
      <w:pPr>
        <w:keepNext w:val="0"/>
        <w:keepLines w:val="0"/>
        <w:pageBreakBefore w:val="0"/>
        <w:widowControl w:val="0"/>
        <w:numPr>
          <w:ilvl w:val="0"/>
          <w:numId w:val="0"/>
        </w:numPr>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黑体" w:eastAsia="黑体"/>
          <w:b/>
          <w:sz w:val="28"/>
          <w:szCs w:val="28"/>
          <w:lang w:eastAsia="zh-CN"/>
        </w:rPr>
        <w:t>五、</w:t>
      </w:r>
      <w:r>
        <w:rPr>
          <w:rFonts w:hint="eastAsia" w:ascii="黑体" w:eastAsia="黑体"/>
          <w:b/>
          <w:sz w:val="28"/>
          <w:szCs w:val="28"/>
        </w:rPr>
        <w:t>政府性基金预算财政拨款支出决算情况说明</w:t>
      </w:r>
    </w:p>
    <w:p>
      <w:pPr>
        <w:keepNext w:val="0"/>
        <w:keepLines w:val="0"/>
        <w:pageBreakBefore w:val="0"/>
        <w:widowControl w:val="0"/>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仿宋_GB2312" w:eastAsia="仿宋_GB2312"/>
          <w:sz w:val="28"/>
          <w:szCs w:val="28"/>
          <w:lang w:eastAsia="zh-CN"/>
        </w:rPr>
        <w:t>本单位无此项支出</w:t>
      </w:r>
      <w:r>
        <w:rPr>
          <w:rFonts w:hint="eastAsia" w:ascii="仿宋_GB2312" w:eastAsia="仿宋_GB2312"/>
          <w:sz w:val="28"/>
          <w:szCs w:val="28"/>
        </w:rPr>
        <w:t>。</w:t>
      </w:r>
    </w:p>
    <w:p>
      <w:pPr>
        <w:keepNext w:val="0"/>
        <w:keepLines w:val="0"/>
        <w:pageBreakBefore w:val="0"/>
        <w:widowControl w:val="0"/>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黑体" w:eastAsia="黑体"/>
          <w:b/>
          <w:sz w:val="28"/>
          <w:szCs w:val="28"/>
        </w:rPr>
        <w:t>六、国有资本经营预算财</w:t>
      </w:r>
      <w:r>
        <w:rPr>
          <w:rFonts w:ascii="黑体" w:eastAsia="黑体"/>
          <w:b/>
          <w:sz w:val="28"/>
          <w:szCs w:val="28"/>
        </w:rPr>
        <w:t>政拨款</w:t>
      </w:r>
      <w:r>
        <w:rPr>
          <w:rFonts w:hint="eastAsia" w:ascii="黑体" w:eastAsia="黑体"/>
          <w:b/>
          <w:sz w:val="28"/>
          <w:szCs w:val="28"/>
        </w:rPr>
        <w:t>收支情况</w:t>
      </w:r>
    </w:p>
    <w:p>
      <w:pPr>
        <w:keepNext w:val="0"/>
        <w:keepLines w:val="0"/>
        <w:pageBreakBefore w:val="0"/>
        <w:widowControl w:val="0"/>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仿宋_GB2312" w:eastAsia="仿宋_GB2312"/>
          <w:sz w:val="28"/>
          <w:szCs w:val="28"/>
          <w:lang w:eastAsia="zh-CN"/>
        </w:rPr>
        <w:t>本单位无此项支出</w:t>
      </w:r>
      <w:r>
        <w:rPr>
          <w:rFonts w:hint="eastAsia" w:ascii="仿宋_GB2312" w:eastAsia="仿宋_GB2312"/>
          <w:sz w:val="28"/>
          <w:szCs w:val="28"/>
        </w:rPr>
        <w:t>。</w:t>
      </w:r>
    </w:p>
    <w:p>
      <w:pPr>
        <w:keepNext w:val="0"/>
        <w:keepLines w:val="0"/>
        <w:pageBreakBefore w:val="0"/>
        <w:widowControl w:val="0"/>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sz w:val="28"/>
          <w:szCs w:val="28"/>
        </w:rPr>
      </w:pPr>
      <w:r>
        <w:rPr>
          <w:rFonts w:hint="eastAsia" w:ascii="黑体" w:eastAsia="黑体"/>
          <w:b/>
          <w:sz w:val="28"/>
          <w:szCs w:val="28"/>
        </w:rPr>
        <w:t>七、财政拨款基本支出决算情况说明</w:t>
      </w:r>
    </w:p>
    <w:p>
      <w:pPr>
        <w:keepNext w:val="0"/>
        <w:keepLines w:val="0"/>
        <w:pageBreakBefore w:val="0"/>
        <w:widowControl w:val="0"/>
        <w:tabs>
          <w:tab w:val="center" w:pos="6979"/>
        </w:tabs>
        <w:kinsoku/>
        <w:wordWrap/>
        <w:overflowPunct/>
        <w:topLinePunct w:val="0"/>
        <w:bidi w:val="0"/>
        <w:snapToGrid/>
        <w:spacing w:line="580" w:lineRule="exact"/>
        <w:ind w:left="0" w:leftChars="0" w:right="0" w:rightChars="0" w:firstLine="560" w:firstLineChars="200"/>
        <w:textAlignment w:val="auto"/>
        <w:outlineLvl w:val="9"/>
        <w:rPr>
          <w:rFonts w:hint="eastAsia" w:ascii="黑体" w:eastAsia="黑体"/>
          <w:b/>
          <w:sz w:val="28"/>
          <w:szCs w:val="28"/>
        </w:rPr>
      </w:pPr>
      <w:r>
        <w:rPr>
          <w:rFonts w:hint="eastAsia" w:ascii="仿宋_GB2312" w:eastAsia="仿宋_GB2312"/>
          <w:sz w:val="28"/>
          <w:szCs w:val="28"/>
          <w:lang w:eastAsia="zh-CN"/>
        </w:rPr>
        <w:t>2025</w:t>
      </w:r>
      <w:r>
        <w:rPr>
          <w:rFonts w:hint="eastAsia" w:ascii="仿宋_GB2312" w:eastAsia="仿宋_GB2312"/>
          <w:sz w:val="28"/>
          <w:szCs w:val="28"/>
        </w:rPr>
        <w:t>年度使用一般公共预算财政拨款安排基本支出</w:t>
      </w:r>
      <w:r>
        <w:rPr>
          <w:rFonts w:ascii="仿宋_GB2312" w:eastAsia="仿宋_GB2312"/>
          <w:sz w:val="28"/>
          <w:szCs w:val="28"/>
        </w:rPr>
        <w:t>5394.55</w:t>
      </w:r>
      <w:r>
        <w:rPr>
          <w:rFonts w:hint="eastAsia" w:ascii="仿宋_GB2312" w:eastAsia="仿宋_GB2312"/>
          <w:sz w:val="28"/>
          <w:szCs w:val="28"/>
        </w:rPr>
        <w:t>万元，使用政府性基金财政拨款安排基本支出</w:t>
      </w:r>
      <w:r>
        <w:rPr>
          <w:rFonts w:ascii="仿宋_GB2312" w:eastAsia="仿宋_GB2312"/>
          <w:sz w:val="28"/>
          <w:szCs w:val="28"/>
        </w:rPr>
        <w:t>0</w:t>
      </w:r>
      <w:r>
        <w:rPr>
          <w:rFonts w:hint="eastAsia" w:ascii="仿宋_GB2312" w:eastAsia="仿宋_GB2312"/>
          <w:sz w:val="28"/>
          <w:szCs w:val="28"/>
        </w:rPr>
        <w:t>万元，（1）工资福利支出包括基本工资</w:t>
      </w:r>
      <w:r>
        <w:rPr>
          <w:rFonts w:ascii="仿宋_GB2312" w:eastAsia="仿宋_GB2312"/>
          <w:sz w:val="28"/>
          <w:szCs w:val="28"/>
        </w:rPr>
        <w:t>、津贴补贴、奖金、伙食补助费、绩效工资、</w:t>
      </w:r>
      <w:r>
        <w:rPr>
          <w:rFonts w:hint="eastAsia" w:ascii="仿宋_GB2312" w:eastAsia="仿宋_GB2312"/>
          <w:sz w:val="28"/>
          <w:szCs w:val="28"/>
        </w:rPr>
        <w:t>其他</w:t>
      </w:r>
      <w:r>
        <w:rPr>
          <w:rFonts w:ascii="仿宋_GB2312" w:eastAsia="仿宋_GB2312"/>
          <w:sz w:val="28"/>
          <w:szCs w:val="28"/>
        </w:rPr>
        <w:t>社会保障缴费、其他工资福利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rPr>
        <w:t>；（2）商品和服务支出包括</w:t>
      </w:r>
      <w:r>
        <w:rPr>
          <w:rFonts w:ascii="仿宋_GB2312" w:eastAsia="仿宋_GB2312"/>
          <w:sz w:val="28"/>
          <w:szCs w:val="28"/>
        </w:rPr>
        <w:t>办公费、印刷费、手续费、水费、电费、邮电费、取暖费、物业管理费、差旅费、因公出国（境）费、维修（护）费、租赁费、会议费、培训费、公务接待费、专用材料费、劳务费、委托业务费、工会经费、福利费、公务用车运行维护费、</w:t>
      </w:r>
      <w:r>
        <w:rPr>
          <w:rFonts w:ascii="仿宋_GB2312" w:eastAsia="仿宋_GB2312"/>
          <w:sz w:val="28"/>
          <w:szCs w:val="28"/>
          <w:highlight w:val="none"/>
          <w:u w:val="none"/>
        </w:rPr>
        <w:t>其他交通费</w:t>
      </w:r>
      <w:r>
        <w:rPr>
          <w:rFonts w:hint="eastAsia" w:ascii="仿宋_GB2312" w:eastAsia="仿宋_GB2312"/>
          <w:sz w:val="28"/>
          <w:szCs w:val="28"/>
          <w:highlight w:val="none"/>
          <w:u w:val="none"/>
          <w:lang w:eastAsia="zh-CN"/>
        </w:rPr>
        <w:t>用</w:t>
      </w:r>
      <w:r>
        <w:rPr>
          <w:rFonts w:ascii="仿宋_GB2312" w:eastAsia="仿宋_GB2312"/>
          <w:sz w:val="28"/>
          <w:szCs w:val="28"/>
        </w:rPr>
        <w:t>、其他商品和服务</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rPr>
        <w:t>；（3）对个人和家庭补助支出包括</w:t>
      </w:r>
      <w:r>
        <w:rPr>
          <w:rFonts w:ascii="仿宋_GB2312" w:eastAsia="仿宋_GB2312"/>
          <w:sz w:val="28"/>
          <w:szCs w:val="28"/>
        </w:rPr>
        <w:t>离休费、退休费、抚恤金、生活补助、</w:t>
      </w:r>
      <w:r>
        <w:rPr>
          <w:rFonts w:hint="eastAsia" w:ascii="仿宋_GB2312" w:eastAsia="仿宋_GB2312"/>
          <w:sz w:val="28"/>
          <w:szCs w:val="28"/>
        </w:rPr>
        <w:t>救济费</w:t>
      </w:r>
      <w:r>
        <w:rPr>
          <w:rFonts w:ascii="仿宋_GB2312" w:eastAsia="仿宋_GB2312"/>
          <w:sz w:val="28"/>
          <w:szCs w:val="28"/>
        </w:rPr>
        <w:t>、医疗费</w:t>
      </w:r>
      <w:r>
        <w:rPr>
          <w:rFonts w:hint="eastAsia" w:ascii="仿宋_GB2312" w:eastAsia="仿宋_GB2312"/>
          <w:sz w:val="28"/>
          <w:szCs w:val="28"/>
        </w:rPr>
        <w:t>补助</w:t>
      </w:r>
      <w:r>
        <w:rPr>
          <w:rFonts w:ascii="仿宋_GB2312" w:eastAsia="仿宋_GB2312"/>
          <w:sz w:val="28"/>
          <w:szCs w:val="28"/>
        </w:rPr>
        <w:t>、助学金、奖励金</w:t>
      </w:r>
      <w:r>
        <w:rPr>
          <w:rFonts w:hint="eastAsia" w:ascii="仿宋_GB2312" w:eastAsia="仿宋_GB2312"/>
          <w:sz w:val="28"/>
          <w:szCs w:val="28"/>
        </w:rPr>
        <w:t>、</w:t>
      </w:r>
      <w:r>
        <w:rPr>
          <w:rFonts w:ascii="仿宋_GB2312" w:eastAsia="仿宋_GB2312"/>
          <w:sz w:val="28"/>
          <w:szCs w:val="28"/>
        </w:rPr>
        <w:t>其他对个人和家庭的补助</w:t>
      </w:r>
      <w:r>
        <w:rPr>
          <w:rFonts w:hint="eastAsia" w:ascii="仿宋_GB2312" w:eastAsia="仿宋_GB2312"/>
          <w:sz w:val="28"/>
          <w:szCs w:val="28"/>
        </w:rPr>
        <w:t>等</w:t>
      </w:r>
      <w:r>
        <w:rPr>
          <w:rFonts w:ascii="仿宋_GB2312" w:eastAsia="仿宋_GB2312"/>
          <w:sz w:val="28"/>
          <w:szCs w:val="28"/>
        </w:rPr>
        <w:t>支出</w:t>
      </w:r>
      <w:r>
        <w:rPr>
          <w:rFonts w:hint="eastAsia" w:ascii="仿宋_GB2312" w:eastAsia="仿宋_GB2312"/>
          <w:sz w:val="28"/>
          <w:szCs w:val="28"/>
        </w:rPr>
        <w:t>。（4）资本性支出包括</w:t>
      </w:r>
      <w:r>
        <w:rPr>
          <w:rFonts w:ascii="仿宋_GB2312" w:eastAsia="仿宋_GB2312"/>
          <w:sz w:val="28"/>
          <w:szCs w:val="28"/>
        </w:rPr>
        <w:t>办公设备购置、专用设备购置</w:t>
      </w:r>
      <w:r>
        <w:rPr>
          <w:rFonts w:hint="eastAsia" w:ascii="仿宋_GB2312" w:eastAsia="仿宋_GB2312"/>
          <w:sz w:val="28"/>
          <w:szCs w:val="28"/>
        </w:rPr>
        <w:t>等</w:t>
      </w:r>
      <w:r>
        <w:rPr>
          <w:rFonts w:ascii="仿宋_GB2312" w:eastAsia="仿宋_GB2312"/>
          <w:sz w:val="28"/>
          <w:szCs w:val="28"/>
        </w:rPr>
        <w:t>。</w:t>
      </w:r>
    </w:p>
    <w:p>
      <w:pPr>
        <w:autoSpaceDE w:val="0"/>
        <w:autoSpaceDN w:val="0"/>
        <w:adjustRightInd w:val="0"/>
        <w:spacing w:line="580" w:lineRule="exact"/>
        <w:jc w:val="center"/>
        <w:rPr>
          <w:rFonts w:hint="eastAsia" w:ascii="方正小标宋简体" w:hAnsi="方正小标宋简体" w:eastAsia="方正小标宋简体" w:cs="方正小标宋简体"/>
          <w:b/>
          <w:spacing w:val="40"/>
          <w:kern w:val="0"/>
          <w:sz w:val="32"/>
          <w:szCs w:val="32"/>
        </w:rPr>
      </w:pPr>
      <w:r>
        <w:rPr>
          <w:rFonts w:hint="eastAsia" w:ascii="方正小标宋简体" w:hAnsi="方正小标宋简体" w:eastAsia="方正小标宋简体" w:cs="方正小标宋简体"/>
          <w:b/>
          <w:bCs/>
          <w:spacing w:val="40"/>
          <w:kern w:val="0"/>
          <w:sz w:val="32"/>
          <w:szCs w:val="32"/>
        </w:rPr>
        <w:t>第三部分</w:t>
      </w:r>
      <w:r>
        <w:rPr>
          <w:rFonts w:hint="eastAsia" w:ascii="方正小标宋简体" w:hAnsi="方正小标宋简体" w:eastAsia="方正小标宋简体" w:cs="方正小标宋简体"/>
          <w:b/>
          <w:spacing w:val="40"/>
          <w:sz w:val="32"/>
          <w:szCs w:val="32"/>
          <w:lang w:eastAsia="zh-CN"/>
        </w:rPr>
        <w:t>2025</w:t>
      </w:r>
      <w:r>
        <w:rPr>
          <w:rFonts w:hint="eastAsia" w:ascii="方正小标宋简体" w:hAnsi="方正小标宋简体" w:eastAsia="方正小标宋简体" w:cs="方正小标宋简体"/>
          <w:b/>
          <w:spacing w:val="40"/>
          <w:sz w:val="32"/>
          <w:szCs w:val="32"/>
        </w:rPr>
        <w:t>年度</w:t>
      </w:r>
      <w:r>
        <w:rPr>
          <w:rFonts w:hint="eastAsia" w:ascii="方正小标宋简体" w:hAnsi="方正小标宋简体" w:eastAsia="方正小标宋简体" w:cs="方正小标宋简体"/>
          <w:b/>
          <w:spacing w:val="40"/>
          <w:kern w:val="0"/>
          <w:sz w:val="32"/>
          <w:szCs w:val="32"/>
        </w:rPr>
        <w:t>其他重要事项的情况说明</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黑体" w:eastAsia="黑体"/>
          <w:b/>
          <w:bCs/>
          <w:sz w:val="28"/>
          <w:szCs w:val="28"/>
        </w:rPr>
      </w:pPr>
      <w:r>
        <w:rPr>
          <w:rFonts w:hint="eastAsia" w:ascii="黑体" w:eastAsia="黑体"/>
          <w:b/>
          <w:bCs/>
          <w:sz w:val="28"/>
          <w:szCs w:val="28"/>
        </w:rPr>
        <w:t>一、“三公”经费财政拨款决算情况</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ascii="仿宋_GB2312" w:eastAsia="仿宋_GB2312"/>
          <w:sz w:val="28"/>
          <w:szCs w:val="28"/>
        </w:rPr>
      </w:pPr>
      <w:r>
        <w:rPr>
          <w:rFonts w:hint="eastAsia" w:ascii="仿宋_GB2312" w:eastAsia="仿宋_GB2312"/>
          <w:sz w:val="28"/>
          <w:szCs w:val="28"/>
          <w:lang w:eastAsia="zh-CN"/>
        </w:rPr>
        <w:t>2025</w:t>
      </w:r>
      <w:r>
        <w:rPr>
          <w:rFonts w:hint="eastAsia" w:ascii="仿宋_GB2312" w:eastAsia="仿宋_GB2312"/>
          <w:sz w:val="28"/>
          <w:szCs w:val="28"/>
        </w:rPr>
        <w:t>年度“三公”经费财政拨款决算数</w:t>
      </w:r>
      <w:r>
        <w:rPr>
          <w:rFonts w:ascii="仿宋_GB2312" w:eastAsia="仿宋_GB2312"/>
          <w:sz w:val="28"/>
          <w:szCs w:val="28"/>
        </w:rPr>
        <w:t>0</w:t>
      </w:r>
      <w:r>
        <w:rPr>
          <w:rFonts w:hint="eastAsia" w:ascii="仿宋_GB2312" w:eastAsia="仿宋_GB2312"/>
          <w:sz w:val="28"/>
          <w:szCs w:val="28"/>
        </w:rPr>
        <w:t>万元，比</w:t>
      </w:r>
      <w:r>
        <w:rPr>
          <w:rFonts w:hint="eastAsia" w:ascii="仿宋_GB2312" w:eastAsia="仿宋_GB2312"/>
          <w:sz w:val="28"/>
          <w:szCs w:val="28"/>
          <w:lang w:eastAsia="zh-CN"/>
        </w:rPr>
        <w:t>2025</w:t>
      </w:r>
      <w:r>
        <w:rPr>
          <w:rFonts w:hint="eastAsia" w:ascii="仿宋_GB2312" w:eastAsia="仿宋_GB2312"/>
          <w:sz w:val="28"/>
          <w:szCs w:val="28"/>
        </w:rPr>
        <w:t>年度“三公”经费财政拨款年初预算</w:t>
      </w:r>
      <w:r>
        <w:rPr>
          <w:rFonts w:ascii="仿宋_GB2312" w:eastAsia="仿宋_GB2312"/>
          <w:sz w:val="28"/>
          <w:szCs w:val="28"/>
        </w:rPr>
        <w:t>0.98</w:t>
      </w:r>
      <w:r>
        <w:rPr>
          <w:rFonts w:hint="eastAsia" w:ascii="仿宋_GB2312" w:eastAsia="仿宋_GB2312"/>
          <w:sz w:val="28"/>
          <w:szCs w:val="28"/>
        </w:rPr>
        <w:t>万元减少</w:t>
      </w:r>
      <w:r>
        <w:rPr>
          <w:rFonts w:ascii="仿宋_GB2312" w:eastAsia="仿宋_GB2312"/>
          <w:sz w:val="28"/>
          <w:szCs w:val="28"/>
        </w:rPr>
        <w:t>0.98</w:t>
      </w:r>
      <w:r>
        <w:rPr>
          <w:rFonts w:hint="eastAsia" w:ascii="仿宋_GB2312" w:eastAsia="仿宋_GB2312"/>
          <w:sz w:val="28"/>
          <w:szCs w:val="28"/>
        </w:rPr>
        <w:t>万元。其中：</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1.因公出国（境）费用。</w:t>
      </w:r>
      <w:r>
        <w:rPr>
          <w:rFonts w:hint="eastAsia" w:ascii="仿宋_GB2312" w:eastAsia="仿宋_GB2312"/>
          <w:sz w:val="28"/>
          <w:szCs w:val="28"/>
          <w:lang w:eastAsia="zh-CN"/>
        </w:rPr>
        <w:t>2025</w:t>
      </w:r>
      <w:r>
        <w:rPr>
          <w:rFonts w:hint="eastAsia" w:ascii="仿宋_GB2312" w:eastAsia="仿宋_GB2312"/>
          <w:sz w:val="28"/>
          <w:szCs w:val="28"/>
        </w:rPr>
        <w:t>年度决算数</w:t>
      </w:r>
      <w:r>
        <w:rPr>
          <w:rFonts w:ascii="仿宋_GB2312" w:eastAsia="仿宋_GB2312"/>
          <w:sz w:val="28"/>
          <w:szCs w:val="28"/>
        </w:rPr>
        <w:t>0</w:t>
      </w:r>
      <w:r>
        <w:rPr>
          <w:rFonts w:hint="eastAsia" w:ascii="仿宋_GB2312" w:eastAsia="仿宋_GB2312"/>
          <w:sz w:val="28"/>
          <w:szCs w:val="28"/>
        </w:rPr>
        <w:t>万元，比</w:t>
      </w:r>
      <w:r>
        <w:rPr>
          <w:rFonts w:hint="eastAsia" w:ascii="仿宋_GB2312" w:eastAsia="仿宋_GB2312"/>
          <w:sz w:val="28"/>
          <w:szCs w:val="28"/>
          <w:lang w:eastAsia="zh-CN"/>
        </w:rPr>
        <w:t>2025</w:t>
      </w:r>
      <w:r>
        <w:rPr>
          <w:rFonts w:hint="eastAsia" w:ascii="仿宋_GB2312" w:eastAsia="仿宋_GB2312"/>
          <w:sz w:val="28"/>
          <w:szCs w:val="28"/>
        </w:rPr>
        <w:t>年度年初预算数</w:t>
      </w:r>
      <w:r>
        <w:rPr>
          <w:rFonts w:ascii="仿宋_GB2312" w:eastAsia="仿宋_GB2312"/>
          <w:sz w:val="28"/>
          <w:szCs w:val="28"/>
        </w:rPr>
        <w:t>0</w:t>
      </w:r>
      <w:r>
        <w:rPr>
          <w:rFonts w:hint="eastAsia" w:ascii="仿宋_GB2312" w:eastAsia="仿宋_GB2312"/>
          <w:sz w:val="28"/>
          <w:szCs w:val="28"/>
        </w:rPr>
        <w:t>万元</w:t>
      </w:r>
      <w:r>
        <w:rPr>
          <w:rFonts w:hint="eastAsia" w:ascii="仿宋_GB2312" w:eastAsia="仿宋_GB2312"/>
          <w:sz w:val="28"/>
          <w:szCs w:val="28"/>
          <w:lang w:eastAsia="zh-CN"/>
        </w:rPr>
        <w:t>持平</w:t>
      </w:r>
      <w:r>
        <w:rPr>
          <w:rFonts w:hint="eastAsia" w:ascii="仿宋_GB2312" w:eastAsia="仿宋_GB2312"/>
          <w:sz w:val="28"/>
          <w:szCs w:val="28"/>
        </w:rPr>
        <w:t>。</w:t>
      </w:r>
      <w:r>
        <w:rPr>
          <w:rFonts w:hint="eastAsia" w:ascii="仿宋_GB2312" w:eastAsia="仿宋_GB2312"/>
          <w:sz w:val="28"/>
          <w:szCs w:val="28"/>
          <w:lang w:eastAsia="zh-CN"/>
        </w:rPr>
        <w:t>2025</w:t>
      </w:r>
      <w:r>
        <w:rPr>
          <w:rFonts w:hint="eastAsia" w:ascii="仿宋_GB2312" w:eastAsia="仿宋_GB2312"/>
          <w:sz w:val="28"/>
          <w:szCs w:val="28"/>
        </w:rPr>
        <w:t>年度因公出国（境）费用主要用于出国的会议、培训等方面，</w:t>
      </w:r>
      <w:r>
        <w:rPr>
          <w:rFonts w:hint="eastAsia" w:ascii="仿宋_GB2312" w:eastAsia="仿宋_GB2312"/>
          <w:sz w:val="28"/>
          <w:szCs w:val="28"/>
          <w:lang w:eastAsia="zh-CN"/>
        </w:rPr>
        <w:t>2025</w:t>
      </w:r>
      <w:r>
        <w:rPr>
          <w:rFonts w:hint="eastAsia" w:ascii="仿宋_GB2312" w:eastAsia="仿宋_GB2312"/>
          <w:sz w:val="28"/>
          <w:szCs w:val="28"/>
        </w:rPr>
        <w:t>年度组织因公出国（境）团组</w:t>
      </w:r>
      <w:r>
        <w:rPr>
          <w:rFonts w:hint="eastAsia" w:ascii="仿宋_GB2312" w:eastAsia="仿宋_GB2312"/>
          <w:sz w:val="28"/>
          <w:szCs w:val="28"/>
          <w:lang w:eastAsia="zh-CN"/>
        </w:rPr>
        <w:t>0</w:t>
      </w:r>
      <w:r>
        <w:rPr>
          <w:rFonts w:hint="eastAsia" w:ascii="仿宋_GB2312" w:eastAsia="仿宋_GB2312"/>
          <w:sz w:val="28"/>
          <w:szCs w:val="28"/>
        </w:rPr>
        <w:t>个、</w:t>
      </w:r>
      <w:r>
        <w:rPr>
          <w:rFonts w:hint="eastAsia" w:ascii="仿宋_GB2312" w:eastAsia="仿宋_GB2312"/>
          <w:sz w:val="28"/>
          <w:szCs w:val="28"/>
          <w:lang w:eastAsia="zh-CN"/>
        </w:rPr>
        <w:t>0</w:t>
      </w:r>
      <w:r>
        <w:rPr>
          <w:rFonts w:hint="eastAsia" w:ascii="仿宋_GB2312" w:eastAsia="仿宋_GB2312"/>
          <w:sz w:val="28"/>
          <w:szCs w:val="28"/>
        </w:rPr>
        <w:t>人次。</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2.公务接待费。</w:t>
      </w:r>
      <w:r>
        <w:rPr>
          <w:rFonts w:hint="eastAsia" w:ascii="仿宋_GB2312" w:eastAsia="仿宋_GB2312"/>
          <w:sz w:val="28"/>
          <w:szCs w:val="28"/>
          <w:lang w:eastAsia="zh-CN"/>
        </w:rPr>
        <w:t>2025</w:t>
      </w:r>
      <w:r>
        <w:rPr>
          <w:rFonts w:hint="eastAsia" w:ascii="仿宋_GB2312" w:eastAsia="仿宋_GB2312"/>
          <w:sz w:val="28"/>
          <w:szCs w:val="28"/>
        </w:rPr>
        <w:t>年度决算数</w:t>
      </w:r>
      <w:r>
        <w:rPr>
          <w:rFonts w:ascii="仿宋_GB2312" w:eastAsia="仿宋_GB2312"/>
          <w:sz w:val="28"/>
          <w:szCs w:val="28"/>
        </w:rPr>
        <w:t>0</w:t>
      </w:r>
      <w:r>
        <w:rPr>
          <w:rFonts w:hint="eastAsia" w:ascii="仿宋_GB2312" w:eastAsia="仿宋_GB2312"/>
          <w:sz w:val="28"/>
          <w:szCs w:val="28"/>
        </w:rPr>
        <w:t>万元，比</w:t>
      </w:r>
      <w:r>
        <w:rPr>
          <w:rFonts w:hint="eastAsia" w:ascii="仿宋_GB2312" w:eastAsia="仿宋_GB2312"/>
          <w:sz w:val="28"/>
          <w:szCs w:val="28"/>
          <w:lang w:eastAsia="zh-CN"/>
        </w:rPr>
        <w:t>2025</w:t>
      </w:r>
      <w:r>
        <w:rPr>
          <w:rFonts w:hint="eastAsia" w:ascii="仿宋_GB2312" w:eastAsia="仿宋_GB2312"/>
          <w:sz w:val="28"/>
          <w:szCs w:val="28"/>
        </w:rPr>
        <w:t>年度年初预算数</w:t>
      </w:r>
      <w:r>
        <w:rPr>
          <w:rFonts w:ascii="仿宋_GB2312" w:eastAsia="仿宋_GB2312"/>
          <w:sz w:val="28"/>
          <w:szCs w:val="28"/>
        </w:rPr>
        <w:t>0.98</w:t>
      </w:r>
      <w:r>
        <w:rPr>
          <w:rFonts w:hint="eastAsia" w:ascii="仿宋_GB2312" w:eastAsia="仿宋_GB2312"/>
          <w:sz w:val="28"/>
          <w:szCs w:val="28"/>
        </w:rPr>
        <w:t>万元减少</w:t>
      </w:r>
      <w:r>
        <w:rPr>
          <w:rFonts w:ascii="仿宋_GB2312" w:eastAsia="仿宋_GB2312"/>
          <w:sz w:val="28"/>
          <w:szCs w:val="28"/>
        </w:rPr>
        <w:t>0.98</w:t>
      </w:r>
      <w:r>
        <w:rPr>
          <w:rFonts w:hint="eastAsia" w:ascii="仿宋_GB2312" w:eastAsia="仿宋_GB2312"/>
          <w:sz w:val="28"/>
          <w:szCs w:val="28"/>
        </w:rPr>
        <w:t>万元。主要原因：落实政府过紧日子要求，厉行节约要求，严格控制公务接待费用。</w:t>
      </w:r>
      <w:r>
        <w:rPr>
          <w:rFonts w:hint="eastAsia" w:ascii="仿宋_GB2312" w:eastAsia="仿宋_GB2312"/>
          <w:sz w:val="28"/>
          <w:szCs w:val="28"/>
          <w:lang w:eastAsia="zh-CN"/>
        </w:rPr>
        <w:t>2025</w:t>
      </w:r>
      <w:r>
        <w:rPr>
          <w:rFonts w:hint="eastAsia" w:ascii="仿宋_GB2312" w:eastAsia="仿宋_GB2312"/>
          <w:sz w:val="28"/>
          <w:szCs w:val="28"/>
        </w:rPr>
        <w:t>年度公务接待费主要用于接待事项。公务接待</w:t>
      </w:r>
      <w:r>
        <w:rPr>
          <w:rFonts w:hint="eastAsia" w:ascii="仿宋_GB2312" w:eastAsia="仿宋_GB2312"/>
          <w:sz w:val="28"/>
          <w:szCs w:val="28"/>
          <w:lang w:eastAsia="zh-CN"/>
        </w:rPr>
        <w:t>0</w:t>
      </w:r>
      <w:r>
        <w:rPr>
          <w:rFonts w:hint="eastAsia" w:ascii="仿宋_GB2312" w:eastAsia="仿宋_GB2312"/>
          <w:sz w:val="28"/>
          <w:szCs w:val="28"/>
        </w:rPr>
        <w:t>批次，公务接待</w:t>
      </w:r>
      <w:r>
        <w:rPr>
          <w:rFonts w:hint="eastAsia" w:ascii="仿宋_GB2312" w:eastAsia="仿宋_GB2312"/>
          <w:sz w:val="28"/>
          <w:szCs w:val="28"/>
          <w:lang w:eastAsia="zh-CN"/>
        </w:rPr>
        <w:t>0</w:t>
      </w:r>
      <w:r>
        <w:rPr>
          <w:rFonts w:hint="eastAsia" w:ascii="仿宋_GB2312" w:eastAsia="仿宋_GB2312"/>
          <w:sz w:val="28"/>
          <w:szCs w:val="28"/>
        </w:rPr>
        <w:t>人次。</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3.公务用车购置及运行维护费。</w:t>
      </w:r>
      <w:r>
        <w:rPr>
          <w:rFonts w:hint="eastAsia" w:ascii="仿宋_GB2312" w:eastAsia="仿宋_GB2312"/>
          <w:sz w:val="28"/>
          <w:szCs w:val="28"/>
          <w:lang w:eastAsia="zh-CN"/>
        </w:rPr>
        <w:t>2025</w:t>
      </w:r>
      <w:r>
        <w:rPr>
          <w:rFonts w:hint="eastAsia" w:ascii="仿宋_GB2312" w:eastAsia="仿宋_GB2312"/>
          <w:sz w:val="28"/>
          <w:szCs w:val="28"/>
        </w:rPr>
        <w:t>年度决算数</w:t>
      </w:r>
      <w:r>
        <w:rPr>
          <w:rFonts w:ascii="仿宋_GB2312" w:eastAsia="仿宋_GB2312"/>
          <w:sz w:val="28"/>
          <w:szCs w:val="28"/>
        </w:rPr>
        <w:t>0</w:t>
      </w:r>
      <w:r>
        <w:rPr>
          <w:rFonts w:hint="eastAsia" w:ascii="仿宋_GB2312" w:eastAsia="仿宋_GB2312"/>
          <w:sz w:val="28"/>
          <w:szCs w:val="28"/>
        </w:rPr>
        <w:t>万元，比</w:t>
      </w:r>
      <w:r>
        <w:rPr>
          <w:rFonts w:hint="eastAsia" w:ascii="仿宋_GB2312" w:eastAsia="仿宋_GB2312"/>
          <w:sz w:val="28"/>
          <w:szCs w:val="28"/>
          <w:lang w:eastAsia="zh-CN"/>
        </w:rPr>
        <w:t>2025</w:t>
      </w:r>
      <w:r>
        <w:rPr>
          <w:rFonts w:hint="eastAsia" w:ascii="仿宋_GB2312" w:eastAsia="仿宋_GB2312"/>
          <w:sz w:val="28"/>
          <w:szCs w:val="28"/>
        </w:rPr>
        <w:t>年度年初预算数</w:t>
      </w:r>
      <w:r>
        <w:rPr>
          <w:rFonts w:ascii="仿宋_GB2312" w:eastAsia="仿宋_GB2312"/>
          <w:sz w:val="28"/>
          <w:szCs w:val="28"/>
        </w:rPr>
        <w:t>0</w:t>
      </w:r>
      <w:r>
        <w:rPr>
          <w:rFonts w:hint="eastAsia" w:ascii="仿宋_GB2312" w:eastAsia="仿宋_GB2312"/>
          <w:sz w:val="28"/>
          <w:szCs w:val="28"/>
        </w:rPr>
        <w:t>万元</w:t>
      </w:r>
      <w:r>
        <w:rPr>
          <w:rFonts w:hint="eastAsia" w:ascii="仿宋_GB2312" w:eastAsia="仿宋_GB2312"/>
          <w:sz w:val="28"/>
          <w:szCs w:val="28"/>
          <w:lang w:eastAsia="zh-CN"/>
        </w:rPr>
        <w:t>持平</w:t>
      </w:r>
      <w:r>
        <w:rPr>
          <w:rFonts w:hint="eastAsia" w:ascii="仿宋_GB2312" w:eastAsia="仿宋_GB2312"/>
          <w:sz w:val="28"/>
          <w:szCs w:val="28"/>
        </w:rPr>
        <w:t>。其中，公务用车购置费</w:t>
      </w:r>
      <w:r>
        <w:rPr>
          <w:rFonts w:hint="eastAsia" w:ascii="仿宋_GB2312" w:eastAsia="仿宋_GB2312"/>
          <w:sz w:val="28"/>
          <w:szCs w:val="28"/>
          <w:lang w:eastAsia="zh-CN"/>
        </w:rPr>
        <w:t>2025</w:t>
      </w:r>
      <w:r>
        <w:rPr>
          <w:rFonts w:hint="eastAsia" w:ascii="仿宋_GB2312" w:eastAsia="仿宋_GB2312"/>
          <w:sz w:val="28"/>
          <w:szCs w:val="28"/>
        </w:rPr>
        <w:t>年度决算数</w:t>
      </w:r>
      <w:r>
        <w:rPr>
          <w:rFonts w:hint="eastAsia" w:ascii="仿宋_GB2312" w:eastAsia="仿宋_GB2312"/>
          <w:sz w:val="28"/>
          <w:szCs w:val="28"/>
          <w:lang w:val="en-US" w:eastAsia="zh-CN"/>
        </w:rPr>
        <w:t>0</w:t>
      </w:r>
      <w:r>
        <w:rPr>
          <w:rFonts w:hint="eastAsia" w:ascii="仿宋_GB2312" w:eastAsia="仿宋_GB2312"/>
          <w:sz w:val="28"/>
          <w:szCs w:val="28"/>
        </w:rPr>
        <w:t>万元，</w:t>
      </w:r>
      <w:r>
        <w:rPr>
          <w:rFonts w:hint="eastAsia" w:ascii="仿宋_GB2312" w:eastAsia="仿宋_GB2312"/>
          <w:sz w:val="28"/>
          <w:szCs w:val="28"/>
          <w:lang w:eastAsia="zh-CN"/>
        </w:rPr>
        <w:t>2025</w:t>
      </w:r>
      <w:r>
        <w:rPr>
          <w:rFonts w:hint="eastAsia" w:ascii="仿宋_GB2312" w:eastAsia="仿宋_GB2312"/>
          <w:sz w:val="28"/>
          <w:szCs w:val="28"/>
        </w:rPr>
        <w:t>年度购置（更新）</w:t>
      </w:r>
      <w:r>
        <w:rPr>
          <w:rFonts w:hint="eastAsia" w:ascii="仿宋_GB2312" w:eastAsia="仿宋_GB2312"/>
          <w:sz w:val="28"/>
          <w:szCs w:val="28"/>
          <w:lang w:eastAsia="zh-CN"/>
        </w:rPr>
        <w:t>0</w:t>
      </w:r>
      <w:r>
        <w:rPr>
          <w:rFonts w:hint="eastAsia" w:ascii="仿宋_GB2312" w:eastAsia="仿宋_GB2312"/>
          <w:sz w:val="28"/>
          <w:szCs w:val="28"/>
        </w:rPr>
        <w:t>辆。公务用车运行维护费</w:t>
      </w:r>
      <w:r>
        <w:rPr>
          <w:rFonts w:hint="eastAsia" w:ascii="仿宋_GB2312" w:eastAsia="仿宋_GB2312"/>
          <w:sz w:val="28"/>
          <w:szCs w:val="28"/>
          <w:lang w:eastAsia="zh-CN"/>
        </w:rPr>
        <w:t>2025</w:t>
      </w:r>
      <w:r>
        <w:rPr>
          <w:rFonts w:hint="eastAsia" w:ascii="仿宋_GB2312" w:eastAsia="仿宋_GB2312"/>
          <w:sz w:val="28"/>
          <w:szCs w:val="28"/>
        </w:rPr>
        <w:t>年度决算数</w:t>
      </w:r>
      <w:r>
        <w:rPr>
          <w:rFonts w:hint="eastAsia" w:ascii="仿宋_GB2312" w:eastAsia="仿宋_GB2312"/>
          <w:sz w:val="28"/>
          <w:szCs w:val="28"/>
          <w:lang w:val="en-US" w:eastAsia="zh-CN"/>
        </w:rPr>
        <w:t>0</w:t>
      </w:r>
      <w:r>
        <w:rPr>
          <w:rFonts w:hint="eastAsia" w:ascii="仿宋_GB2312" w:eastAsia="仿宋_GB2312"/>
          <w:sz w:val="28"/>
          <w:szCs w:val="28"/>
        </w:rPr>
        <w:t>万元。</w:t>
      </w:r>
      <w:r>
        <w:rPr>
          <w:rFonts w:hint="eastAsia" w:ascii="仿宋_GB2312" w:eastAsia="仿宋_GB2312"/>
          <w:sz w:val="28"/>
          <w:szCs w:val="28"/>
          <w:lang w:eastAsia="zh-CN"/>
        </w:rPr>
        <w:t>2025</w:t>
      </w:r>
      <w:r>
        <w:rPr>
          <w:rFonts w:hint="eastAsia" w:ascii="仿宋_GB2312" w:eastAsia="仿宋_GB2312"/>
          <w:sz w:val="28"/>
          <w:szCs w:val="28"/>
        </w:rPr>
        <w:t>年度公务用车保有量</w:t>
      </w:r>
      <w:r>
        <w:rPr>
          <w:rFonts w:ascii="仿宋_GB2312" w:eastAsia="仿宋_GB2312"/>
          <w:sz w:val="28"/>
          <w:szCs w:val="28"/>
        </w:rPr>
        <w:t>0</w:t>
      </w:r>
      <w:r>
        <w:rPr>
          <w:rFonts w:hint="eastAsia" w:ascii="仿宋_GB2312" w:eastAsia="仿宋_GB2312"/>
          <w:sz w:val="28"/>
          <w:szCs w:val="28"/>
        </w:rPr>
        <w:t>辆。</w:t>
      </w:r>
    </w:p>
    <w:p>
      <w:pPr>
        <w:keepNext w:val="0"/>
        <w:keepLines w:val="0"/>
        <w:pageBreakBefore w:val="0"/>
        <w:widowControl w:val="0"/>
        <w:tabs>
          <w:tab w:val="center" w:pos="6979"/>
        </w:tabs>
        <w:kinsoku/>
        <w:wordWrap/>
        <w:overflowPunct/>
        <w:topLinePunct w:val="0"/>
        <w:autoSpaceDE/>
        <w:autoSpaceDN/>
        <w:bidi w:val="0"/>
        <w:adjustRightInd/>
        <w:snapToGrid/>
        <w:ind w:left="0" w:leftChars="0" w:right="0" w:rightChars="0" w:firstLine="560" w:firstLineChars="200"/>
        <w:textAlignment w:val="auto"/>
        <w:outlineLvl w:val="9"/>
        <w:rPr>
          <w:rFonts w:hint="eastAsia" w:ascii="黑体" w:eastAsia="黑体"/>
          <w:b/>
          <w:bCs/>
          <w:sz w:val="28"/>
          <w:szCs w:val="28"/>
        </w:rPr>
      </w:pPr>
      <w:r>
        <w:rPr>
          <w:rFonts w:hint="eastAsia" w:ascii="黑体" w:eastAsia="黑体"/>
          <w:b/>
          <w:bCs/>
          <w:sz w:val="28"/>
          <w:szCs w:val="28"/>
        </w:rPr>
        <w:t>二、机关运行经费支出情况</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hAnsi="仿宋" w:eastAsia="仿宋_GB2312" w:cs="仿宋"/>
          <w:bCs/>
          <w:sz w:val="28"/>
          <w:szCs w:val="28"/>
          <w:highlight w:val="none"/>
        </w:rPr>
      </w:pPr>
      <w:r>
        <w:rPr>
          <w:rFonts w:hint="eastAsia" w:ascii="仿宋_GB2312" w:eastAsia="仿宋_GB2312"/>
          <w:sz w:val="28"/>
          <w:szCs w:val="28"/>
          <w:lang w:eastAsia="zh-CN"/>
        </w:rPr>
        <w:t>2025</w:t>
      </w:r>
      <w:r>
        <w:rPr>
          <w:rFonts w:hint="eastAsia" w:ascii="仿宋_GB2312" w:eastAsia="仿宋_GB2312"/>
          <w:sz w:val="28"/>
          <w:szCs w:val="28"/>
        </w:rPr>
        <w:t>年度</w:t>
      </w:r>
      <w:r>
        <w:rPr>
          <w:rFonts w:hint="eastAsia" w:ascii="仿宋_GB2312" w:eastAsia="仿宋_GB2312"/>
          <w:sz w:val="28"/>
          <w:szCs w:val="28"/>
          <w:lang w:eastAsia="zh-CN"/>
        </w:rPr>
        <w:t>机关运行经费</w:t>
      </w:r>
      <w:r>
        <w:rPr>
          <w:rFonts w:hint="eastAsia" w:ascii="仿宋_GB2312" w:eastAsia="仿宋_GB2312"/>
          <w:sz w:val="28"/>
          <w:szCs w:val="28"/>
        </w:rPr>
        <w:t>支出合计</w:t>
      </w:r>
      <w:r>
        <w:rPr>
          <w:rFonts w:hint="eastAsia" w:ascii="仿宋_GB2312" w:eastAsia="仿宋_GB2312"/>
          <w:sz w:val="28"/>
          <w:szCs w:val="28"/>
          <w:lang w:val="en-US" w:eastAsia="zh-CN"/>
        </w:rPr>
        <w:t>615.21</w:t>
      </w:r>
      <w:r>
        <w:rPr>
          <w:rFonts w:hint="eastAsia" w:ascii="仿宋_GB2312" w:eastAsia="仿宋_GB2312"/>
          <w:sz w:val="28"/>
          <w:szCs w:val="28"/>
        </w:rPr>
        <w:t>万元，比上年增加</w:t>
      </w:r>
      <w:r>
        <w:rPr>
          <w:rFonts w:hint="eastAsia" w:ascii="仿宋_GB2312" w:eastAsia="仿宋_GB2312"/>
          <w:sz w:val="28"/>
          <w:szCs w:val="28"/>
          <w:lang w:val="en-US" w:eastAsia="zh-CN"/>
        </w:rPr>
        <w:t>32.24</w:t>
      </w:r>
      <w:r>
        <w:rPr>
          <w:rFonts w:hint="eastAsia" w:ascii="仿宋_GB2312" w:eastAsia="仿宋_GB2312"/>
          <w:sz w:val="28"/>
          <w:szCs w:val="28"/>
        </w:rPr>
        <w:t>万元，增加原因：</w:t>
      </w:r>
      <w:r>
        <w:rPr>
          <w:rFonts w:hint="eastAsia" w:ascii="仿宋_GB2312" w:eastAsia="仿宋_GB2312"/>
          <w:sz w:val="28"/>
          <w:szCs w:val="28"/>
          <w:lang w:eastAsia="zh-CN"/>
        </w:rPr>
        <w:t>为保障运转，公用经费支出增加</w:t>
      </w:r>
      <w:r>
        <w:rPr>
          <w:rFonts w:hint="eastAsia" w:ascii="仿宋_GB2312" w:hAnsi="仿宋" w:eastAsia="仿宋_GB2312" w:cs="仿宋"/>
          <w:bCs/>
          <w:sz w:val="28"/>
          <w:szCs w:val="28"/>
          <w:highlight w:val="none"/>
        </w:rPr>
        <w:t>。</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黑体" w:eastAsia="黑体"/>
          <w:b/>
          <w:bCs w:val="0"/>
          <w:sz w:val="28"/>
          <w:szCs w:val="28"/>
          <w:lang w:val="en-US" w:eastAsia="zh-CN"/>
        </w:rPr>
      </w:pP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黑体" w:eastAsia="黑体"/>
          <w:sz w:val="28"/>
          <w:szCs w:val="28"/>
        </w:rPr>
      </w:pPr>
      <w:r>
        <w:rPr>
          <w:rFonts w:hint="eastAsia" w:ascii="黑体" w:eastAsia="黑体"/>
          <w:b/>
          <w:bCs w:val="0"/>
          <w:sz w:val="28"/>
          <w:szCs w:val="28"/>
          <w:lang w:val="en-US" w:eastAsia="zh-CN"/>
        </w:rPr>
        <w:t>三</w:t>
      </w:r>
      <w:r>
        <w:rPr>
          <w:rFonts w:hint="eastAsia" w:ascii="黑体" w:eastAsia="黑体"/>
          <w:b/>
          <w:bCs w:val="0"/>
          <w:sz w:val="28"/>
          <w:szCs w:val="28"/>
        </w:rPr>
        <w:t>、政府采购支出情况</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lang w:eastAsia="zh-CN"/>
        </w:rPr>
        <w:t>2025</w:t>
      </w:r>
      <w:r>
        <w:rPr>
          <w:rFonts w:hint="eastAsia" w:ascii="仿宋_GB2312" w:eastAsia="仿宋_GB2312"/>
          <w:sz w:val="28"/>
          <w:szCs w:val="28"/>
        </w:rPr>
        <w:t>年度政府采购支出总额</w:t>
      </w:r>
      <w:r>
        <w:rPr>
          <w:rFonts w:ascii="仿宋_GB2312" w:eastAsia="仿宋_GB2312"/>
          <w:sz w:val="28"/>
          <w:szCs w:val="28"/>
        </w:rPr>
        <w:t>1314.63</w:t>
      </w:r>
      <w:r>
        <w:rPr>
          <w:rFonts w:hint="eastAsia" w:ascii="仿宋_GB2312" w:eastAsia="仿宋_GB2312"/>
          <w:sz w:val="28"/>
          <w:szCs w:val="28"/>
        </w:rPr>
        <w:t>万元，其中：政府采购货物支出</w:t>
      </w:r>
      <w:r>
        <w:rPr>
          <w:rFonts w:ascii="仿宋_GB2312" w:eastAsia="仿宋_GB2312"/>
          <w:sz w:val="28"/>
          <w:szCs w:val="28"/>
        </w:rPr>
        <w:t>3</w:t>
      </w:r>
      <w:r>
        <w:rPr>
          <w:rFonts w:hint="eastAsia" w:ascii="仿宋_GB2312" w:eastAsia="仿宋_GB2312"/>
          <w:sz w:val="28"/>
          <w:szCs w:val="28"/>
          <w:lang w:val="en-US" w:eastAsia="zh-CN"/>
        </w:rPr>
        <w:t>.00</w:t>
      </w:r>
      <w:r>
        <w:rPr>
          <w:rFonts w:hint="eastAsia" w:ascii="仿宋_GB2312" w:eastAsia="仿宋_GB2312"/>
          <w:sz w:val="28"/>
          <w:szCs w:val="28"/>
        </w:rPr>
        <w:t>万元，政府采购工程支出</w:t>
      </w:r>
      <w:r>
        <w:rPr>
          <w:rFonts w:ascii="仿宋_GB2312" w:eastAsia="仿宋_GB2312"/>
          <w:sz w:val="28"/>
          <w:szCs w:val="28"/>
        </w:rPr>
        <w:t>0</w:t>
      </w:r>
      <w:r>
        <w:rPr>
          <w:rFonts w:hint="eastAsia" w:ascii="仿宋_GB2312" w:eastAsia="仿宋_GB2312"/>
          <w:sz w:val="28"/>
          <w:szCs w:val="28"/>
        </w:rPr>
        <w:t>万元，政府采购服务支出</w:t>
      </w:r>
      <w:r>
        <w:rPr>
          <w:rFonts w:ascii="仿宋_GB2312" w:eastAsia="仿宋_GB2312"/>
          <w:sz w:val="28"/>
          <w:szCs w:val="28"/>
        </w:rPr>
        <w:t>1311.63</w:t>
      </w:r>
      <w:r>
        <w:rPr>
          <w:rFonts w:hint="eastAsia" w:ascii="仿宋_GB2312" w:eastAsia="仿宋_GB2312"/>
          <w:sz w:val="28"/>
          <w:szCs w:val="28"/>
        </w:rPr>
        <w:t>万元。授予中小企业合同金额</w:t>
      </w:r>
      <w:r>
        <w:rPr>
          <w:rFonts w:ascii="仿宋_GB2312" w:eastAsia="仿宋_GB2312"/>
          <w:sz w:val="28"/>
          <w:szCs w:val="28"/>
        </w:rPr>
        <w:t>1311.63</w:t>
      </w:r>
      <w:r>
        <w:rPr>
          <w:rFonts w:hint="eastAsia" w:ascii="仿宋_GB2312" w:eastAsia="仿宋_GB2312"/>
          <w:sz w:val="28"/>
          <w:szCs w:val="28"/>
        </w:rPr>
        <w:t>万元，占政府采购支出总额的</w:t>
      </w:r>
      <w:r>
        <w:rPr>
          <w:rFonts w:hint="eastAsia" w:ascii="仿宋_GB2312" w:eastAsia="仿宋_GB2312"/>
          <w:sz w:val="28"/>
          <w:szCs w:val="28"/>
          <w:lang w:eastAsia="zh-CN"/>
        </w:rPr>
        <w:t>99.77</w:t>
      </w:r>
      <w:r>
        <w:rPr>
          <w:rFonts w:hint="eastAsia" w:ascii="仿宋_GB2312" w:eastAsia="仿宋_GB2312"/>
          <w:sz w:val="28"/>
          <w:szCs w:val="28"/>
        </w:rPr>
        <w:t>%，其中：授予小微企业合同金额</w:t>
      </w:r>
      <w:r>
        <w:rPr>
          <w:rFonts w:ascii="仿宋_GB2312" w:eastAsia="仿宋_GB2312"/>
          <w:sz w:val="28"/>
          <w:szCs w:val="28"/>
        </w:rPr>
        <w:t>292</w:t>
      </w:r>
      <w:r>
        <w:rPr>
          <w:rFonts w:hint="eastAsia" w:ascii="仿宋_GB2312" w:eastAsia="仿宋_GB2312"/>
          <w:sz w:val="28"/>
          <w:szCs w:val="28"/>
          <w:lang w:val="en-US" w:eastAsia="zh-CN"/>
        </w:rPr>
        <w:t>.00</w:t>
      </w:r>
      <w:r>
        <w:rPr>
          <w:rFonts w:hint="eastAsia" w:ascii="仿宋_GB2312" w:eastAsia="仿宋_GB2312"/>
          <w:sz w:val="28"/>
          <w:szCs w:val="28"/>
        </w:rPr>
        <w:t>万元，占政府采购支出总额的</w:t>
      </w:r>
      <w:r>
        <w:rPr>
          <w:rFonts w:ascii="仿宋_GB2312" w:eastAsia="仿宋_GB2312"/>
          <w:sz w:val="28"/>
          <w:szCs w:val="28"/>
        </w:rPr>
        <w:t>22.21</w:t>
      </w:r>
      <w:r>
        <w:rPr>
          <w:rFonts w:hint="eastAsia" w:ascii="仿宋_GB2312" w:eastAsia="仿宋_GB2312"/>
          <w:sz w:val="28"/>
          <w:szCs w:val="28"/>
        </w:rPr>
        <w:t>%。</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黑体" w:eastAsia="黑体"/>
          <w:b/>
          <w:bCs/>
          <w:sz w:val="28"/>
          <w:szCs w:val="28"/>
          <w:highlight w:val="yellow"/>
        </w:rPr>
      </w:pPr>
      <w:r>
        <w:rPr>
          <w:rFonts w:hint="eastAsia" w:ascii="黑体" w:eastAsia="黑体"/>
          <w:b/>
          <w:bCs/>
          <w:sz w:val="28"/>
          <w:szCs w:val="28"/>
          <w:highlight w:val="none"/>
        </w:rPr>
        <w:t>四、国有资产占用情况</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ascii="仿宋_GB2312" w:eastAsia="仿宋_GB2312"/>
          <w:sz w:val="32"/>
          <w:szCs w:val="32"/>
        </w:rPr>
      </w:pPr>
      <w:r>
        <w:rPr>
          <w:rFonts w:hint="eastAsia" w:ascii="仿宋_GB2312" w:eastAsia="仿宋_GB2312"/>
          <w:sz w:val="28"/>
          <w:szCs w:val="28"/>
          <w:lang w:eastAsia="zh-CN"/>
        </w:rPr>
        <w:t>截至</w:t>
      </w:r>
      <w:r>
        <w:rPr>
          <w:rFonts w:hint="eastAsia" w:ascii="仿宋_GB2312" w:eastAsia="仿宋_GB2312"/>
          <w:sz w:val="28"/>
          <w:szCs w:val="28"/>
          <w:lang w:val="en-US" w:eastAsia="zh-CN"/>
        </w:rPr>
        <w:t>12月31日，北京市朝阳区劳动人事争议仲裁院</w:t>
      </w:r>
      <w:r>
        <w:rPr>
          <w:rFonts w:hint="eastAsia" w:ascii="仿宋_GB2312" w:eastAsia="仿宋_GB2312"/>
          <w:sz w:val="28"/>
          <w:szCs w:val="28"/>
          <w:lang w:eastAsia="zh-CN"/>
        </w:rPr>
        <w:t>共有</w:t>
      </w:r>
      <w:r>
        <w:rPr>
          <w:rFonts w:hint="eastAsia" w:ascii="仿宋_GB2312" w:eastAsia="仿宋_GB2312"/>
          <w:sz w:val="28"/>
          <w:szCs w:val="28"/>
        </w:rPr>
        <w:t>车辆</w:t>
      </w:r>
      <w:r>
        <w:rPr>
          <w:rFonts w:hint="eastAsia" w:ascii="仿宋_GB2312" w:eastAsia="仿宋_GB2312"/>
          <w:sz w:val="28"/>
          <w:szCs w:val="28"/>
          <w:lang w:val="en-US" w:eastAsia="zh-CN"/>
        </w:rPr>
        <w:t>0</w:t>
      </w:r>
      <w:r>
        <w:rPr>
          <w:rFonts w:hint="eastAsia" w:ascii="仿宋_GB2312" w:eastAsia="仿宋_GB2312"/>
          <w:sz w:val="28"/>
          <w:szCs w:val="28"/>
        </w:rPr>
        <w:t>台；单位价值100</w:t>
      </w:r>
      <w:r>
        <w:rPr>
          <w:rFonts w:hint="eastAsia" w:ascii="仿宋_GB2312" w:eastAsia="仿宋_GB2312"/>
          <w:sz w:val="28"/>
          <w:szCs w:val="28"/>
          <w:lang w:val="en-US" w:eastAsia="zh-CN"/>
        </w:rPr>
        <w:t>.00</w:t>
      </w:r>
      <w:r>
        <w:rPr>
          <w:rFonts w:hint="eastAsia" w:ascii="仿宋_GB2312" w:eastAsia="仿宋_GB2312"/>
          <w:sz w:val="28"/>
          <w:szCs w:val="28"/>
        </w:rPr>
        <w:t>万元</w:t>
      </w:r>
      <w:r>
        <w:rPr>
          <w:rFonts w:hint="eastAsia" w:ascii="仿宋_GB2312" w:eastAsia="仿宋_GB2312"/>
          <w:sz w:val="28"/>
          <w:szCs w:val="28"/>
          <w:lang w:eastAsia="zh-CN"/>
        </w:rPr>
        <w:t>（含）</w:t>
      </w:r>
      <w:r>
        <w:rPr>
          <w:rFonts w:hint="eastAsia" w:ascii="仿宋_GB2312" w:eastAsia="仿宋_GB2312"/>
          <w:sz w:val="28"/>
          <w:szCs w:val="28"/>
        </w:rPr>
        <w:t>以上的设备</w:t>
      </w:r>
      <w:r>
        <w:rPr>
          <w:rFonts w:hint="eastAsia" w:ascii="仿宋_GB2312" w:eastAsia="仿宋_GB2312"/>
          <w:sz w:val="28"/>
          <w:szCs w:val="28"/>
          <w:lang w:val="en-US" w:eastAsia="zh-CN"/>
        </w:rPr>
        <w:t>0</w:t>
      </w:r>
      <w:r>
        <w:rPr>
          <w:rFonts w:hint="eastAsia" w:ascii="仿宋_GB2312" w:eastAsia="仿宋_GB2312"/>
          <w:sz w:val="28"/>
          <w:szCs w:val="28"/>
        </w:rPr>
        <w:t>台（套）。</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jc w:val="left"/>
        <w:textAlignment w:val="auto"/>
        <w:outlineLvl w:val="9"/>
        <w:rPr>
          <w:rFonts w:hint="eastAsia" w:ascii="仿宋_GB2312" w:eastAsia="仿宋_GB2312"/>
          <w:b/>
          <w:bCs/>
          <w:color w:val="000000"/>
          <w:sz w:val="32"/>
          <w:szCs w:val="32"/>
        </w:rPr>
      </w:pPr>
      <w:r>
        <w:rPr>
          <w:rFonts w:hint="eastAsia" w:ascii="黑体" w:eastAsia="黑体"/>
          <w:b/>
          <w:bCs/>
          <w:sz w:val="28"/>
          <w:szCs w:val="28"/>
          <w:lang w:val="en-US" w:eastAsia="zh-CN"/>
        </w:rPr>
        <w:t>五</w:t>
      </w:r>
      <w:r>
        <w:rPr>
          <w:rFonts w:hint="eastAsia" w:ascii="黑体" w:eastAsia="黑体"/>
          <w:b/>
          <w:bCs/>
          <w:sz w:val="28"/>
          <w:szCs w:val="28"/>
        </w:rPr>
        <w:t>、</w:t>
      </w:r>
      <w:r>
        <w:rPr>
          <w:rFonts w:ascii="黑体" w:eastAsia="黑体"/>
          <w:b/>
          <w:bCs/>
          <w:sz w:val="28"/>
          <w:szCs w:val="28"/>
        </w:rPr>
        <w:t>专业名词解释</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1.基本支出：指为保障机构正常运转、完成日常工作任务而发生的人员支出和公用支出。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2.项目支出：指在基本支出之外为完成特定行政任务或事业发展目标所发生的支出。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hAnsi="Times New Roman" w:eastAsia="仿宋_GB2312" w:cs="Times New Roman"/>
          <w:sz w:val="28"/>
          <w:szCs w:val="28"/>
        </w:rPr>
      </w:pPr>
      <w:r>
        <w:rPr>
          <w:rFonts w:hint="eastAsia" w:ascii="仿宋_GB2312" w:hAnsi="Times New Roman" w:eastAsia="仿宋_GB2312" w:cs="Times New Roman"/>
          <w:sz w:val="28"/>
          <w:szCs w:val="28"/>
        </w:rPr>
        <w:t>3.“三公”经费：是指单位通过财政拨款资金安排的因公出国（境）费、公务用车购置及运行费和公务接待费。</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lang w:val="en-US" w:eastAsia="zh-CN"/>
        </w:rPr>
      </w:pPr>
      <w:r>
        <w:rPr>
          <w:rFonts w:hint="eastAsia" w:ascii="仿宋_GB2312" w:hAnsi="Times New Roman" w:eastAsia="仿宋_GB2312" w:cs="Times New Roman"/>
          <w:sz w:val="28"/>
          <w:szCs w:val="28"/>
        </w:rPr>
        <w:t>4.</w:t>
      </w:r>
      <w:r>
        <w:rPr>
          <w:rFonts w:hint="eastAsia" w:ascii="仿宋_GB2312" w:eastAsia="仿宋_GB2312" w:cs="Times New Roman"/>
          <w:sz w:val="28"/>
          <w:szCs w:val="28"/>
          <w:lang w:val="en-US" w:eastAsia="zh-CN"/>
        </w:rPr>
        <w:t>机关运行经费</w:t>
      </w:r>
      <w:r>
        <w:rPr>
          <w:rFonts w:hint="eastAsia" w:ascii="仿宋_GB2312" w:hAnsi="Times New Roman" w:eastAsia="仿宋_GB2312" w:cs="Times New Roman"/>
          <w:sz w:val="28"/>
          <w:szCs w:val="28"/>
        </w:rPr>
        <w:t>：</w:t>
      </w:r>
      <w:r>
        <w:rPr>
          <w:rFonts w:hint="eastAsia" w:ascii="仿宋_GB2312" w:eastAsia="仿宋_GB2312" w:cs="Times New Roman"/>
          <w:sz w:val="28"/>
          <w:szCs w:val="28"/>
          <w:lang w:val="en-US" w:eastAsia="zh-CN"/>
        </w:rPr>
        <w:t>反映为保障行政单位（包括参照公务员法管理的事业单位）运行用于购买货物和服务的各项资金，包括办公费、会议费、培训费、委托业务费、公务接待费、公务用车运行维护费、维修（护）费及其他费用</w:t>
      </w:r>
      <w:r>
        <w:rPr>
          <w:rFonts w:hint="eastAsia" w:ascii="仿宋_GB2312" w:hAnsi="Times New Roman" w:eastAsia="仿宋_GB2312" w:cs="Times New Roman"/>
          <w:sz w:val="28"/>
          <w:szCs w:val="28"/>
        </w:rPr>
        <w:t>。</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hAnsi="Times New Roman" w:eastAsia="仿宋_GB2312" w:cs="Times New Roman"/>
          <w:sz w:val="28"/>
          <w:szCs w:val="28"/>
        </w:rPr>
      </w:pPr>
      <w:r>
        <w:rPr>
          <w:rFonts w:hint="eastAsia" w:ascii="仿宋_GB2312" w:eastAsia="仿宋_GB2312" w:cs="Times New Roman"/>
          <w:sz w:val="28"/>
          <w:szCs w:val="28"/>
          <w:lang w:val="en-US" w:eastAsia="zh-CN"/>
        </w:rPr>
        <w:t>5</w:t>
      </w:r>
      <w:r>
        <w:rPr>
          <w:rFonts w:hint="eastAsia" w:ascii="仿宋_GB2312" w:hAnsi="Times New Roman" w:eastAsia="仿宋_GB2312" w:cs="Times New Roman"/>
          <w:sz w:val="28"/>
          <w:szCs w:val="28"/>
        </w:rPr>
        <w:t>.政府采购：指各级国家机关、事业单位和团体组织，使用财政性资金采购依法制定的集中目录以内的或者采购限额标准以上的货物、工程和服务的行为，是规范财政支出管理和强化预算约束的有效措施。</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cs="Times New Roman"/>
          <w:sz w:val="28"/>
          <w:szCs w:val="28"/>
          <w:lang w:val="en-US" w:eastAsia="zh-CN"/>
        </w:rPr>
        <w:t>6</w:t>
      </w:r>
      <w:r>
        <w:rPr>
          <w:rFonts w:hint="eastAsia" w:ascii="仿宋_GB2312" w:hAnsi="Times New Roman" w:eastAsia="仿宋_GB2312" w:cs="Times New Roman"/>
          <w:sz w:val="28"/>
          <w:szCs w:val="28"/>
        </w:rPr>
        <w:t>.</w:t>
      </w:r>
      <w:r>
        <w:rPr>
          <w:rFonts w:hint="eastAsia" w:ascii="仿宋_GB2312" w:eastAsia="仿宋_GB2312"/>
          <w:sz w:val="28"/>
          <w:szCs w:val="28"/>
        </w:rPr>
        <w:t>本单位所使用的支出功能分类“项级”科目名词解释：</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(1)教育支出(类)进修及培训(款)培训支出(项):反映各部门安排的用于培训的支出。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(2)科学技术支出(类)科技条件与服务(款)其他科技条件与服务支出(项):反映其他用于科技条件与服务方面的支出。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(3)社会保障和就业支出(类)人力资源和社会保障管理事务(款)劳动人事争议调解仲裁(项):反映仲裁机构实体化建设、办案经费、调解仲裁能力建设等支出。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 xml:space="preserve">(4)社会保障和就业支出(类)行政事业单位养老支出(款)行政单位离退休(项):反映行政单位(包括实行公务员管理的事业单位)开支的离退休经费。 </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(5)社会保障和就业支出(类)行政事业单位养老支出(款)机关事业单位基本养老保险缴费支出(项)反映机关事业单位实施养老保险制度由单位缴纳的基本养老保险费支出。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(6)社会保障和就业支出(类)行政事业单位养老支出(款)机关事业单位职业年金缴费支出(项)反映机关事业单位实施养老保险制度由单位实际缴纳的职业年金支出（含职业年金补记支出）。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仿宋_GB2312" w:eastAsia="仿宋_GB2312"/>
          <w:sz w:val="28"/>
          <w:szCs w:val="28"/>
        </w:rPr>
      </w:pPr>
      <w:r>
        <w:rPr>
          <w:rFonts w:hint="eastAsia" w:ascii="仿宋_GB2312" w:eastAsia="仿宋_GB2312"/>
          <w:sz w:val="28"/>
          <w:szCs w:val="28"/>
        </w:rPr>
        <w:t>(7)社会保障和就业支出(类) 其他社会保障和就业支出(款) 其他社会保障和就业支出(项)反映其他用于社会保障和就业方面的支出。</w:t>
      </w:r>
    </w:p>
    <w:p>
      <w:pPr>
        <w:keepNext w:val="0"/>
        <w:keepLines w:val="0"/>
        <w:pageBreakBefore w:val="0"/>
        <w:widowControl w:val="0"/>
        <w:kinsoku/>
        <w:wordWrap/>
        <w:overflowPunct/>
        <w:topLinePunct w:val="0"/>
        <w:autoSpaceDE/>
        <w:autoSpaceDN/>
        <w:bidi w:val="0"/>
        <w:adjustRightInd/>
        <w:snapToGrid/>
        <w:ind w:left="0" w:leftChars="0" w:right="0" w:rightChars="0" w:firstLine="560" w:firstLineChars="200"/>
        <w:textAlignment w:val="auto"/>
        <w:outlineLvl w:val="9"/>
        <w:rPr>
          <w:rFonts w:hint="eastAsia" w:ascii="黑体" w:eastAsia="黑体"/>
          <w:sz w:val="32"/>
          <w:szCs w:val="32"/>
        </w:rPr>
      </w:pPr>
      <w:r>
        <w:rPr>
          <w:rFonts w:hint="eastAsia" w:ascii="仿宋_GB2312" w:eastAsia="仿宋_GB2312"/>
          <w:sz w:val="28"/>
          <w:szCs w:val="28"/>
        </w:rPr>
        <w:t>(8)卫生健康支出(类)行政事业单位医疗(款)行政单位医疗(项):反映财政部门安排的行政单位(包括实行公务员管理的事业单位)基本医疗保险缴费经费，未参加医疗保险的行政单位的公费医疗经费，按国家规定享受离休人员、红军老战士待遇人员的医疗经费。</w:t>
      </w:r>
    </w:p>
    <w:p>
      <w:pPr>
        <w:ind w:firstLine="640" w:firstLineChars="200"/>
        <w:jc w:val="center"/>
        <w:rPr>
          <w:rFonts w:hint="eastAsia" w:ascii="黑体" w:eastAsia="黑体"/>
          <w:sz w:val="32"/>
          <w:szCs w:val="32"/>
        </w:rPr>
      </w:pPr>
    </w:p>
    <w:p>
      <w:pPr>
        <w:ind w:firstLine="640" w:firstLineChars="200"/>
        <w:jc w:val="center"/>
        <w:rPr>
          <w:rFonts w:hint="eastAsia" w:ascii="黑体" w:eastAsia="黑体"/>
          <w:sz w:val="32"/>
          <w:szCs w:val="32"/>
        </w:rPr>
      </w:pPr>
      <w:r>
        <w:rPr>
          <w:rFonts w:hint="eastAsia" w:ascii="黑体" w:eastAsia="黑体"/>
          <w:sz w:val="32"/>
          <w:szCs w:val="32"/>
        </w:rPr>
        <w:t xml:space="preserve">第四部分  </w:t>
      </w:r>
      <w:r>
        <w:rPr>
          <w:rFonts w:hint="eastAsia" w:ascii="黑体" w:eastAsia="黑体"/>
          <w:sz w:val="32"/>
          <w:szCs w:val="32"/>
          <w:lang w:eastAsia="zh-CN"/>
        </w:rPr>
        <w:t>2025</w:t>
      </w:r>
      <w:r>
        <w:rPr>
          <w:rFonts w:hint="eastAsia" w:ascii="黑体" w:eastAsia="黑体"/>
          <w:sz w:val="32"/>
          <w:szCs w:val="32"/>
        </w:rPr>
        <w:t>年度部门绩效评价情况</w:t>
      </w:r>
    </w:p>
    <w:p>
      <w:pPr>
        <w:ind w:firstLine="560" w:firstLineChars="200"/>
        <w:rPr>
          <w:rFonts w:hint="eastAsia" w:ascii="黑体" w:eastAsia="黑体"/>
          <w:sz w:val="28"/>
          <w:szCs w:val="28"/>
          <w:highlight w:val="yellow"/>
        </w:rPr>
      </w:pP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rPr>
          <w:rFonts w:ascii="Cambria" w:hAnsi="Cambria"/>
          <w:b/>
          <w:bCs/>
          <w:sz w:val="32"/>
          <w:szCs w:val="32"/>
        </w:rPr>
      </w:pPr>
      <w:r>
        <w:rPr>
          <w:rFonts w:hint="eastAsia" w:ascii="黑体" w:eastAsia="黑体"/>
          <w:b/>
          <w:bCs/>
          <w:sz w:val="28"/>
          <w:szCs w:val="28"/>
          <w:lang w:eastAsia="zh-CN"/>
        </w:rPr>
        <w:t>一、</w:t>
      </w:r>
      <w:r>
        <w:rPr>
          <w:rFonts w:hint="eastAsia" w:ascii="黑体" w:eastAsia="黑体"/>
          <w:b/>
          <w:bCs/>
          <w:sz w:val="28"/>
          <w:szCs w:val="28"/>
        </w:rPr>
        <w:t>项目</w:t>
      </w:r>
      <w:r>
        <w:rPr>
          <w:rFonts w:ascii="黑体" w:eastAsia="黑体"/>
          <w:b/>
          <w:bCs/>
          <w:sz w:val="28"/>
          <w:szCs w:val="28"/>
        </w:rPr>
        <w:t>支出绩效自评表</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uto"/>
        <w:ind w:right="0" w:rightChars="0"/>
        <w:jc w:val="both"/>
        <w:textAlignment w:val="auto"/>
        <w:outlineLvl w:val="9"/>
      </w:pPr>
      <w:r>
        <w:rPr>
          <w:rFonts w:hint="eastAsia" w:ascii="仿宋_GB2312" w:hAnsi="Times New Roman" w:eastAsia="仿宋_GB2312" w:cs="Times New Roman"/>
          <w:b w:val="0"/>
          <w:bCs w:val="0"/>
          <w:kern w:val="2"/>
          <w:sz w:val="28"/>
          <w:szCs w:val="28"/>
          <w:lang w:val="en-US" w:eastAsia="zh-CN" w:bidi="ar-SA"/>
        </w:rPr>
        <w:t>详见附件</w:t>
      </w:r>
    </w:p>
    <w:p>
      <w:pPr>
        <w:keepNext/>
        <w:keepLines/>
        <w:spacing w:before="260" w:after="260" w:line="416" w:lineRule="auto"/>
        <w:ind w:firstLine="560"/>
        <w:outlineLvl w:val="1"/>
        <w:rPr>
          <w:rFonts w:hint="eastAsia" w:ascii="仿宋_GB2312" w:eastAsia="仿宋_GB2312"/>
          <w:sz w:val="28"/>
          <w:szCs w:val="28"/>
        </w:rPr>
      </w:pPr>
    </w:p>
    <w:p>
      <w:pPr>
        <w:spacing w:line="480" w:lineRule="exact"/>
      </w:pPr>
    </w:p>
    <w:sectPr>
      <w:footerReference r:id="rId4" w:type="default"/>
      <w:footerReference r:id="rId5" w:type="even"/>
      <w:pgSz w:w="16838" w:h="11906"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roman"/>
    <w:pitch w:val="variable"/>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modern"/>
    <w:pitch w:val="default"/>
    <w:sig w:usb0="E00002FF" w:usb1="400004FF" w:usb2="00000000" w:usb3="00000000" w:csb0="2000019F" w:csb1="00000000"/>
  </w:font>
  <w:font w:name="Calibri">
    <w:panose1 w:val="020F0502020204030204"/>
    <w:charset w:val="00"/>
    <w:family w:val="decorative"/>
    <w:pitch w:val="default"/>
    <w:sig w:usb0="E00002FF" w:usb1="4000ACFF" w:usb2="00000001" w:usb3="00000000" w:csb0="2000019F" w:csb1="00000000"/>
  </w:font>
  <w:font w:name="Arial">
    <w:panose1 w:val="020B0604020202020204"/>
    <w:charset w:val="01"/>
    <w:family w:val="decorative"/>
    <w:pitch w:val="default"/>
    <w:sig w:usb0="E0002AFF" w:usb1="C0007843" w:usb2="00000009" w:usb3="00000000" w:csb0="400001FF" w:csb1="FFFF0000"/>
  </w:font>
  <w:font w:name="Courier New">
    <w:panose1 w:val="02070309020205020404"/>
    <w:charset w:val="01"/>
    <w:family w:val="swiss"/>
    <w:pitch w:val="default"/>
    <w:sig w:usb0="E0002AFF" w:usb1="C0007843" w:usb2="00000009" w:usb3="00000000" w:csb0="400001FF" w:csb1="FFFF0000"/>
  </w:font>
  <w:font w:name="Symbol">
    <w:panose1 w:val="05050102010706020507"/>
    <w:charset w:val="02"/>
    <w:family w:val="modern"/>
    <w:pitch w:val="default"/>
    <w:sig w:usb0="00000000" w:usb1="00000000" w:usb2="00000000" w:usb3="00000000" w:csb0="80000000" w:csb1="00000000"/>
  </w:font>
  <w:font w:name="Cambria">
    <w:panose1 w:val="02040503050406030204"/>
    <w:charset w:val="00"/>
    <w:family w:val="swiss"/>
    <w:pitch w:val="default"/>
    <w:sig w:usb0="E00002FF" w:usb1="400004FF" w:usb2="00000000" w:usb3="00000000" w:csb0="2000019F" w:csb1="00000000"/>
  </w:font>
  <w:font w:name="Calibri">
    <w:panose1 w:val="020F0502020204030204"/>
    <w:charset w:val="00"/>
    <w:family w:val="roman"/>
    <w:pitch w:val="default"/>
    <w:sig w:usb0="E00002FF" w:usb1="4000ACFF" w:usb2="00000001" w:usb3="00000000" w:csb0="2000019F" w:csb1="00000000"/>
  </w:font>
  <w:font w:name="Arial">
    <w:panose1 w:val="020B0604020202020204"/>
    <w:charset w:val="01"/>
    <w:family w:val="roman"/>
    <w:pitch w:val="default"/>
    <w:sig w:usb0="E0002AFF" w:usb1="C0007843" w:usb2="00000009" w:usb3="00000000" w:csb0="400001FF" w:csb1="FFFF0000"/>
  </w:font>
  <w:font w:name="Courier New">
    <w:panose1 w:val="02070309020205020404"/>
    <w:charset w:val="01"/>
    <w:family w:val="decorative"/>
    <w:pitch w:val="default"/>
    <w:sig w:usb0="E0002AFF" w:usb1="C0007843" w:usb2="00000009" w:usb3="00000000" w:csb0="400001FF" w:csb1="FFFF0000"/>
  </w:font>
  <w:font w:name="Symbol">
    <w:panose1 w:val="05050102010706020507"/>
    <w:charset w:val="02"/>
    <w:family w:val="swiss"/>
    <w:pitch w:val="default"/>
    <w:sig w:usb0="00000000" w:usb1="00000000" w:usb2="00000000" w:usb3="00000000" w:csb0="80000000" w:csb1="00000000"/>
  </w:font>
  <w:font w:name="Cambria">
    <w:panose1 w:val="02040503050406030204"/>
    <w:charset w:val="00"/>
    <w:family w:val="decorative"/>
    <w:pitch w:val="default"/>
    <w:sig w:usb0="E00002FF" w:usb1="400004FF" w:usb2="00000000" w:usb3="00000000" w:csb0="2000019F" w:csb1="00000000"/>
  </w:font>
  <w:font w:name="Calibri">
    <w:panose1 w:val="020F0502020204030204"/>
    <w:charset w:val="00"/>
    <w:family w:val="modern"/>
    <w:pitch w:val="default"/>
    <w:sig w:usb0="E00002FF" w:usb1="4000ACFF" w:usb2="00000001" w:usb3="00000000" w:csb0="2000019F" w:csb1="00000000"/>
  </w:font>
  <w:font w:name="Arial">
    <w:panose1 w:val="020B0604020202020204"/>
    <w:charset w:val="01"/>
    <w:family w:val="modern"/>
    <w:pitch w:val="default"/>
    <w:sig w:usb0="E0002AFF" w:usb1="C0007843" w:usb2="00000009" w:usb3="00000000" w:csb0="400001FF" w:csb1="FFFF0000"/>
  </w:font>
  <w:font w:name="Courier New">
    <w:panose1 w:val="02070309020205020404"/>
    <w:charset w:val="01"/>
    <w:family w:val="roman"/>
    <w:pitch w:val="default"/>
    <w:sig w:usb0="E0002AFF" w:usb1="C0007843" w:usb2="00000009" w:usb3="00000000" w:csb0="400001FF" w:csb1="FFFF0000"/>
  </w:font>
  <w:font w:name="Symbol">
    <w:panose1 w:val="05050102010706020507"/>
    <w:charset w:val="02"/>
    <w:family w:val="decorative"/>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decorative"/>
    <w:pitch w:val="default"/>
    <w:sig w:usb0="800002BF" w:usb1="38CF7CFA" w:usb2="00000016" w:usb3="00000000" w:csb0="00040001" w:csb1="00000000"/>
  </w:font>
  <w:font w:name="Tahoma">
    <w:panose1 w:val="020B0604030504040204"/>
    <w:charset w:val="00"/>
    <w:family w:val="roman"/>
    <w:pitch w:val="default"/>
    <w:sig w:usb0="E1002EFF" w:usb1="C000605B" w:usb2="00000029" w:usb3="00000000" w:csb0="200101FF" w:csb1="20280000"/>
  </w:font>
  <w:font w:name="Droid Sans">
    <w:altName w:val="微软雅黑"/>
    <w:panose1 w:val="00000000000000000000"/>
    <w:charset w:val="00"/>
    <w:family w:val="auto"/>
    <w:pitch w:val="default"/>
    <w:sig w:usb0="00000000" w:usb1="00000000" w:usb2="00000000" w:usb3="00000000" w:csb0="00040001" w:csb1="00000000"/>
  </w:font>
  <w:font w:name="微软雅黑">
    <w:panose1 w:val="020B0503020204020204"/>
    <w:charset w:val="86"/>
    <w:family w:val="auto"/>
    <w:pitch w:val="default"/>
    <w:sig w:usb0="80000287" w:usb1="280F3C52" w:usb2="00000016" w:usb3="00000000" w:csb0="0004001F" w:csb1="00000000"/>
  </w:font>
  <w:font w:name="黑体">
    <w:panose1 w:val="02010609060101010101"/>
    <w:charset w:val="86"/>
    <w:family w:val="roman"/>
    <w:pitch w:val="default"/>
    <w:sig w:usb0="800002BF" w:usb1="38CF7CFA" w:usb2="00000016" w:usb3="00000000" w:csb0="00040001" w:csb1="00000000"/>
  </w:font>
  <w:font w:name="仿宋_GB2312">
    <w:panose1 w:val="02010609030101010101"/>
    <w:charset w:val="86"/>
    <w:family w:val="roman"/>
    <w:pitch w:val="default"/>
    <w:sig w:usb0="00000001" w:usb1="080E0000" w:usb2="00000000" w:usb3="00000000" w:csb0="00040000" w:csb1="00000000"/>
  </w:font>
  <w:font w:name="仿宋">
    <w:panose1 w:val="02010609060101010101"/>
    <w:charset w:val="86"/>
    <w:family w:val="roman"/>
    <w:pitch w:val="default"/>
    <w:sig w:usb0="800002BF" w:usb1="38CF7CFA" w:usb2="00000016" w:usb3="00000000" w:csb0="00040001" w:csb1="00000000"/>
  </w:font>
  <w:font w:name="Tahoma">
    <w:panose1 w:val="020B0604030504040204"/>
    <w:charset w:val="00"/>
    <w:family w:val="modern"/>
    <w:pitch w:val="default"/>
    <w:sig w:usb0="E1002EFF" w:usb1="C000605B" w:usb2="00000029" w:usb3="00000000" w:csb0="200101FF" w:csb1="20280000"/>
  </w:font>
  <w:font w:name="黑体">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黑体">
    <w:panose1 w:val="02010609060101010101"/>
    <w:charset w:val="86"/>
    <w:family w:val="swiss"/>
    <w:pitch w:val="default"/>
    <w:sig w:usb0="800002BF" w:usb1="38CF7CFA" w:usb2="00000016" w:usb3="00000000" w:csb0="00040001" w:csb1="00000000"/>
  </w:font>
  <w:font w:name="仿宋_GB2312">
    <w:panose1 w:val="02010609030101010101"/>
    <w:charset w:val="86"/>
    <w:family w:val="swiss"/>
    <w:pitch w:val="default"/>
    <w:sig w:usb0="00000001" w:usb1="080E0000" w:usb2="00000000" w:usb3="00000000" w:csb0="00040000" w:csb1="00000000"/>
  </w:font>
  <w:font w:name="仿宋">
    <w:panose1 w:val="02010609060101010101"/>
    <w:charset w:val="86"/>
    <w:family w:val="swiss"/>
    <w:pitch w:val="default"/>
    <w:sig w:usb0="800002BF" w:usb1="38CF7CFA" w:usb2="00000016" w:usb3="00000000" w:csb0="00040001" w:csb1="00000000"/>
  </w:font>
  <w:font w:name="Tahoma">
    <w:panose1 w:val="020B0604030504040204"/>
    <w:charset w:val="00"/>
    <w:family w:val="decorative"/>
    <w:pitch w:val="default"/>
    <w:sig w:usb0="E1002EFF" w:usb1="C000605B" w:usb2="00000029" w:usb3="00000000" w:csb0="200101FF" w:csb1="20280000"/>
  </w:font>
  <w:font w:name="黑体">
    <w:panose1 w:val="02010609060101010101"/>
    <w:charset w:val="86"/>
    <w:family w:val="decorative"/>
    <w:pitch w:val="default"/>
    <w:sig w:usb0="800002BF" w:usb1="38CF7CFA" w:usb2="00000016" w:usb3="00000000" w:csb0="00040001" w:csb1="00000000"/>
  </w:font>
  <w:font w:name="仿宋_GB2312">
    <w:panose1 w:val="02010609030101010101"/>
    <w:charset w:val="86"/>
    <w:family w:val="decorative"/>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 w:name="Chinese Quot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2"/>
      </w:rPr>
    </w:pPr>
    <w:r>
      <w:fldChar w:fldCharType="begin"/>
    </w:r>
    <w:r>
      <w:rPr>
        <w:rStyle w:val="12"/>
      </w:rPr>
      <w:instrText xml:space="preserve">PAGE  </w:instrText>
    </w:r>
    <w:r>
      <w:fldChar w:fldCharType="separate"/>
    </w:r>
    <w:r>
      <w:rPr>
        <w:rStyle w:val="12"/>
      </w:rPr>
      <w:t>3</w:t>
    </w:r>
    <w:r>
      <w:fldChar w:fldCharType="end"/>
    </w:r>
  </w:p>
  <w:p>
    <w:pPr>
      <w:pStyle w:val="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2"/>
      </w:rPr>
    </w:pPr>
    <w:r>
      <w:fldChar w:fldCharType="begin"/>
    </w:r>
    <w:r>
      <w:rPr>
        <w:rStyle w:val="12"/>
      </w:rPr>
      <w:instrText xml:space="preserve">PAGE  </w:instrText>
    </w:r>
    <w:r>
      <w:fldChar w:fldCharType="separate"/>
    </w:r>
    <w:r>
      <w:rPr>
        <w:rStyle w:val="12"/>
      </w:rPr>
      <w:t>5</w:t>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2"/>
      </w:rPr>
    </w:pPr>
    <w:r>
      <w:fldChar w:fldCharType="begin"/>
    </w:r>
    <w:r>
      <w:rPr>
        <w:rStyle w:val="12"/>
      </w:rPr>
      <w:instrText xml:space="preserve">PAGE  </w:instrText>
    </w:r>
    <w:r>
      <w:fldChar w:fldCharType="separate"/>
    </w:r>
    <w:r>
      <w:rPr>
        <w:rStyle w:val="12"/>
      </w:rPr>
      <w:t>15</w:t>
    </w:r>
    <w:r>
      <w:fldChar w:fldCharType="end"/>
    </w:r>
  </w:p>
  <w:p>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ZmNWE4NzRhMTczNjJlZDE5ZTE5YTczN2QxMzcyMjAifQ=="/>
  </w:docVars>
  <w:rsids>
    <w:rsidRoot w:val="00100246"/>
    <w:rsid w:val="00003B03"/>
    <w:rsid w:val="000040E6"/>
    <w:rsid w:val="00011D72"/>
    <w:rsid w:val="00027CD5"/>
    <w:rsid w:val="00031B8E"/>
    <w:rsid w:val="00033EC1"/>
    <w:rsid w:val="00034224"/>
    <w:rsid w:val="00040275"/>
    <w:rsid w:val="0004719C"/>
    <w:rsid w:val="00047F6E"/>
    <w:rsid w:val="00051B00"/>
    <w:rsid w:val="000601B1"/>
    <w:rsid w:val="00063034"/>
    <w:rsid w:val="00066E19"/>
    <w:rsid w:val="0006752F"/>
    <w:rsid w:val="00071797"/>
    <w:rsid w:val="00071860"/>
    <w:rsid w:val="0007258E"/>
    <w:rsid w:val="00077A9E"/>
    <w:rsid w:val="00077F4A"/>
    <w:rsid w:val="00077FE5"/>
    <w:rsid w:val="00080447"/>
    <w:rsid w:val="00085663"/>
    <w:rsid w:val="00095948"/>
    <w:rsid w:val="00095C26"/>
    <w:rsid w:val="00096504"/>
    <w:rsid w:val="00096B86"/>
    <w:rsid w:val="000A1770"/>
    <w:rsid w:val="000A283C"/>
    <w:rsid w:val="000B15B7"/>
    <w:rsid w:val="000B70F1"/>
    <w:rsid w:val="000C4611"/>
    <w:rsid w:val="000D1B61"/>
    <w:rsid w:val="000D6854"/>
    <w:rsid w:val="000E0B26"/>
    <w:rsid w:val="000E3291"/>
    <w:rsid w:val="000F08FE"/>
    <w:rsid w:val="000F208B"/>
    <w:rsid w:val="000F2A48"/>
    <w:rsid w:val="000F49BE"/>
    <w:rsid w:val="00100246"/>
    <w:rsid w:val="0010682D"/>
    <w:rsid w:val="001073C6"/>
    <w:rsid w:val="00107DB5"/>
    <w:rsid w:val="00113613"/>
    <w:rsid w:val="0011483D"/>
    <w:rsid w:val="00115724"/>
    <w:rsid w:val="00130995"/>
    <w:rsid w:val="00131FF9"/>
    <w:rsid w:val="00132320"/>
    <w:rsid w:val="00135B6A"/>
    <w:rsid w:val="001369A7"/>
    <w:rsid w:val="001428C5"/>
    <w:rsid w:val="001503D8"/>
    <w:rsid w:val="00157540"/>
    <w:rsid w:val="0017111F"/>
    <w:rsid w:val="00173CF6"/>
    <w:rsid w:val="00180DAD"/>
    <w:rsid w:val="0018370E"/>
    <w:rsid w:val="001852E1"/>
    <w:rsid w:val="00191568"/>
    <w:rsid w:val="001A4277"/>
    <w:rsid w:val="001A7D2E"/>
    <w:rsid w:val="001B1DF9"/>
    <w:rsid w:val="001B1E93"/>
    <w:rsid w:val="001B375E"/>
    <w:rsid w:val="001B4A46"/>
    <w:rsid w:val="001B5E87"/>
    <w:rsid w:val="001B5E91"/>
    <w:rsid w:val="001B69BF"/>
    <w:rsid w:val="001B7988"/>
    <w:rsid w:val="001D78D9"/>
    <w:rsid w:val="001E0556"/>
    <w:rsid w:val="001E2355"/>
    <w:rsid w:val="001E2379"/>
    <w:rsid w:val="001E29A9"/>
    <w:rsid w:val="001F5857"/>
    <w:rsid w:val="00206EC3"/>
    <w:rsid w:val="0021047C"/>
    <w:rsid w:val="00211E4E"/>
    <w:rsid w:val="00213D1C"/>
    <w:rsid w:val="00214C3A"/>
    <w:rsid w:val="00217517"/>
    <w:rsid w:val="00222628"/>
    <w:rsid w:val="002253CB"/>
    <w:rsid w:val="002267A6"/>
    <w:rsid w:val="002326DE"/>
    <w:rsid w:val="00234314"/>
    <w:rsid w:val="00241724"/>
    <w:rsid w:val="0024390C"/>
    <w:rsid w:val="002441F4"/>
    <w:rsid w:val="00244204"/>
    <w:rsid w:val="002448A4"/>
    <w:rsid w:val="00245A0A"/>
    <w:rsid w:val="00246C42"/>
    <w:rsid w:val="002515CC"/>
    <w:rsid w:val="00253EC4"/>
    <w:rsid w:val="00254515"/>
    <w:rsid w:val="0026479D"/>
    <w:rsid w:val="002673C4"/>
    <w:rsid w:val="0027112B"/>
    <w:rsid w:val="00271C3F"/>
    <w:rsid w:val="00272460"/>
    <w:rsid w:val="00273070"/>
    <w:rsid w:val="0027394A"/>
    <w:rsid w:val="00274D50"/>
    <w:rsid w:val="002760D5"/>
    <w:rsid w:val="00276289"/>
    <w:rsid w:val="0028081D"/>
    <w:rsid w:val="0028458C"/>
    <w:rsid w:val="002911BD"/>
    <w:rsid w:val="00291C98"/>
    <w:rsid w:val="00294DE9"/>
    <w:rsid w:val="002A1488"/>
    <w:rsid w:val="002A4C2B"/>
    <w:rsid w:val="002B19D0"/>
    <w:rsid w:val="002B3682"/>
    <w:rsid w:val="002B5464"/>
    <w:rsid w:val="002C0443"/>
    <w:rsid w:val="002C12FB"/>
    <w:rsid w:val="002C24BC"/>
    <w:rsid w:val="002D03C6"/>
    <w:rsid w:val="002D0FDF"/>
    <w:rsid w:val="002D3955"/>
    <w:rsid w:val="002D68A9"/>
    <w:rsid w:val="002E06AE"/>
    <w:rsid w:val="002E4B75"/>
    <w:rsid w:val="002E68DD"/>
    <w:rsid w:val="002F17C2"/>
    <w:rsid w:val="002F32EE"/>
    <w:rsid w:val="002F4054"/>
    <w:rsid w:val="002F5574"/>
    <w:rsid w:val="00301D20"/>
    <w:rsid w:val="00302B19"/>
    <w:rsid w:val="00303428"/>
    <w:rsid w:val="003053C4"/>
    <w:rsid w:val="003058A3"/>
    <w:rsid w:val="00307DA5"/>
    <w:rsid w:val="0031169D"/>
    <w:rsid w:val="0031170D"/>
    <w:rsid w:val="00313E14"/>
    <w:rsid w:val="003167DD"/>
    <w:rsid w:val="00320C8B"/>
    <w:rsid w:val="00321BD8"/>
    <w:rsid w:val="00325687"/>
    <w:rsid w:val="00332C14"/>
    <w:rsid w:val="00335079"/>
    <w:rsid w:val="003352CE"/>
    <w:rsid w:val="00341D8E"/>
    <w:rsid w:val="003502B9"/>
    <w:rsid w:val="00351B8F"/>
    <w:rsid w:val="00353226"/>
    <w:rsid w:val="00353717"/>
    <w:rsid w:val="00354630"/>
    <w:rsid w:val="00365A24"/>
    <w:rsid w:val="003712DB"/>
    <w:rsid w:val="00373DDC"/>
    <w:rsid w:val="00382A86"/>
    <w:rsid w:val="00383BCC"/>
    <w:rsid w:val="00385243"/>
    <w:rsid w:val="003925D4"/>
    <w:rsid w:val="0039318C"/>
    <w:rsid w:val="00393366"/>
    <w:rsid w:val="003937DC"/>
    <w:rsid w:val="00393D75"/>
    <w:rsid w:val="003A2F2D"/>
    <w:rsid w:val="003A43AC"/>
    <w:rsid w:val="003A4EB6"/>
    <w:rsid w:val="003A7AE9"/>
    <w:rsid w:val="003A7BC5"/>
    <w:rsid w:val="003A7FF5"/>
    <w:rsid w:val="003B0352"/>
    <w:rsid w:val="003B4437"/>
    <w:rsid w:val="003B48C4"/>
    <w:rsid w:val="003B5E20"/>
    <w:rsid w:val="003B6DAD"/>
    <w:rsid w:val="003B735F"/>
    <w:rsid w:val="003C030C"/>
    <w:rsid w:val="003C55FC"/>
    <w:rsid w:val="003D0EC3"/>
    <w:rsid w:val="003D7274"/>
    <w:rsid w:val="003E4D82"/>
    <w:rsid w:val="003E5BC1"/>
    <w:rsid w:val="003F0D1B"/>
    <w:rsid w:val="003F1DD6"/>
    <w:rsid w:val="00401087"/>
    <w:rsid w:val="00402E26"/>
    <w:rsid w:val="00405701"/>
    <w:rsid w:val="004110BC"/>
    <w:rsid w:val="0041271F"/>
    <w:rsid w:val="0041688E"/>
    <w:rsid w:val="004170EF"/>
    <w:rsid w:val="0042093C"/>
    <w:rsid w:val="004233DD"/>
    <w:rsid w:val="00424405"/>
    <w:rsid w:val="00425B25"/>
    <w:rsid w:val="00425D24"/>
    <w:rsid w:val="00426A4D"/>
    <w:rsid w:val="00427687"/>
    <w:rsid w:val="00433231"/>
    <w:rsid w:val="004334CA"/>
    <w:rsid w:val="0043506A"/>
    <w:rsid w:val="00435830"/>
    <w:rsid w:val="0043619C"/>
    <w:rsid w:val="0044475D"/>
    <w:rsid w:val="00444D1E"/>
    <w:rsid w:val="0044571A"/>
    <w:rsid w:val="0044705D"/>
    <w:rsid w:val="0045090E"/>
    <w:rsid w:val="00453E36"/>
    <w:rsid w:val="00457286"/>
    <w:rsid w:val="00461FA5"/>
    <w:rsid w:val="00463566"/>
    <w:rsid w:val="00464182"/>
    <w:rsid w:val="00471C52"/>
    <w:rsid w:val="0047460C"/>
    <w:rsid w:val="00474FF2"/>
    <w:rsid w:val="00480098"/>
    <w:rsid w:val="00484A93"/>
    <w:rsid w:val="00485E12"/>
    <w:rsid w:val="004865DA"/>
    <w:rsid w:val="0048779C"/>
    <w:rsid w:val="00487AB7"/>
    <w:rsid w:val="00487ED0"/>
    <w:rsid w:val="00491D09"/>
    <w:rsid w:val="0049682C"/>
    <w:rsid w:val="004A168E"/>
    <w:rsid w:val="004A4EC7"/>
    <w:rsid w:val="004B0003"/>
    <w:rsid w:val="004C020A"/>
    <w:rsid w:val="004C03A3"/>
    <w:rsid w:val="004C44B8"/>
    <w:rsid w:val="004C7629"/>
    <w:rsid w:val="004D0D5D"/>
    <w:rsid w:val="004E27DD"/>
    <w:rsid w:val="004E3350"/>
    <w:rsid w:val="004E5292"/>
    <w:rsid w:val="004F2C5B"/>
    <w:rsid w:val="004F641B"/>
    <w:rsid w:val="004F71F3"/>
    <w:rsid w:val="005052FA"/>
    <w:rsid w:val="005069E1"/>
    <w:rsid w:val="00507E59"/>
    <w:rsid w:val="005122B5"/>
    <w:rsid w:val="0052381C"/>
    <w:rsid w:val="005346B3"/>
    <w:rsid w:val="0054051C"/>
    <w:rsid w:val="00546A84"/>
    <w:rsid w:val="00547BE2"/>
    <w:rsid w:val="0055353D"/>
    <w:rsid w:val="0056187C"/>
    <w:rsid w:val="00576B03"/>
    <w:rsid w:val="00581E1A"/>
    <w:rsid w:val="00591655"/>
    <w:rsid w:val="00591BEC"/>
    <w:rsid w:val="005940EA"/>
    <w:rsid w:val="00594448"/>
    <w:rsid w:val="005A1D6F"/>
    <w:rsid w:val="005A4D82"/>
    <w:rsid w:val="005A52A6"/>
    <w:rsid w:val="005B0DEC"/>
    <w:rsid w:val="005B368E"/>
    <w:rsid w:val="005B6E69"/>
    <w:rsid w:val="005C0015"/>
    <w:rsid w:val="005C1E82"/>
    <w:rsid w:val="005C2BCE"/>
    <w:rsid w:val="005C2CA5"/>
    <w:rsid w:val="005C7062"/>
    <w:rsid w:val="005C7788"/>
    <w:rsid w:val="005D10B9"/>
    <w:rsid w:val="005D18DA"/>
    <w:rsid w:val="005E00DC"/>
    <w:rsid w:val="005E3BBC"/>
    <w:rsid w:val="005E3EC6"/>
    <w:rsid w:val="005E4E07"/>
    <w:rsid w:val="005E4E46"/>
    <w:rsid w:val="005E5275"/>
    <w:rsid w:val="005E7DC8"/>
    <w:rsid w:val="005E7EC9"/>
    <w:rsid w:val="005F7087"/>
    <w:rsid w:val="00611BE4"/>
    <w:rsid w:val="0061219B"/>
    <w:rsid w:val="00621419"/>
    <w:rsid w:val="00626446"/>
    <w:rsid w:val="00626BE8"/>
    <w:rsid w:val="00631827"/>
    <w:rsid w:val="00632804"/>
    <w:rsid w:val="006376DA"/>
    <w:rsid w:val="006459DA"/>
    <w:rsid w:val="006502E8"/>
    <w:rsid w:val="00654A2B"/>
    <w:rsid w:val="0065675C"/>
    <w:rsid w:val="0065793F"/>
    <w:rsid w:val="0066263B"/>
    <w:rsid w:val="0066713A"/>
    <w:rsid w:val="0067195C"/>
    <w:rsid w:val="006724F7"/>
    <w:rsid w:val="0067511A"/>
    <w:rsid w:val="0067539B"/>
    <w:rsid w:val="00675543"/>
    <w:rsid w:val="00677396"/>
    <w:rsid w:val="00677AD9"/>
    <w:rsid w:val="00681970"/>
    <w:rsid w:val="00690641"/>
    <w:rsid w:val="00690D88"/>
    <w:rsid w:val="00691844"/>
    <w:rsid w:val="00693DDF"/>
    <w:rsid w:val="00696F9E"/>
    <w:rsid w:val="006A374A"/>
    <w:rsid w:val="006A505E"/>
    <w:rsid w:val="006A513E"/>
    <w:rsid w:val="006A5265"/>
    <w:rsid w:val="006B0CB9"/>
    <w:rsid w:val="006B2609"/>
    <w:rsid w:val="006B2750"/>
    <w:rsid w:val="006B3678"/>
    <w:rsid w:val="006B7390"/>
    <w:rsid w:val="006C0084"/>
    <w:rsid w:val="006C107D"/>
    <w:rsid w:val="006C3600"/>
    <w:rsid w:val="006C4534"/>
    <w:rsid w:val="006C5205"/>
    <w:rsid w:val="006C75F6"/>
    <w:rsid w:val="006D3F53"/>
    <w:rsid w:val="006D60AF"/>
    <w:rsid w:val="006E4722"/>
    <w:rsid w:val="00701651"/>
    <w:rsid w:val="007049BF"/>
    <w:rsid w:val="00704E79"/>
    <w:rsid w:val="00707A26"/>
    <w:rsid w:val="0071120F"/>
    <w:rsid w:val="00716380"/>
    <w:rsid w:val="00722165"/>
    <w:rsid w:val="00724B1C"/>
    <w:rsid w:val="007428F0"/>
    <w:rsid w:val="007512EF"/>
    <w:rsid w:val="007551AC"/>
    <w:rsid w:val="0076101C"/>
    <w:rsid w:val="00763D87"/>
    <w:rsid w:val="007670B2"/>
    <w:rsid w:val="00771795"/>
    <w:rsid w:val="00774925"/>
    <w:rsid w:val="0079279F"/>
    <w:rsid w:val="00793E69"/>
    <w:rsid w:val="007A063C"/>
    <w:rsid w:val="007A16B0"/>
    <w:rsid w:val="007A19EA"/>
    <w:rsid w:val="007A6092"/>
    <w:rsid w:val="007A60B7"/>
    <w:rsid w:val="007A64A6"/>
    <w:rsid w:val="007A6EE1"/>
    <w:rsid w:val="007A7C89"/>
    <w:rsid w:val="007B1487"/>
    <w:rsid w:val="007B2A43"/>
    <w:rsid w:val="007B326F"/>
    <w:rsid w:val="007B6A58"/>
    <w:rsid w:val="007B6C06"/>
    <w:rsid w:val="007B7B78"/>
    <w:rsid w:val="007C32B1"/>
    <w:rsid w:val="007C7A22"/>
    <w:rsid w:val="007C7C62"/>
    <w:rsid w:val="007D1076"/>
    <w:rsid w:val="007D12B7"/>
    <w:rsid w:val="007D2A49"/>
    <w:rsid w:val="007D5E38"/>
    <w:rsid w:val="007D7AC4"/>
    <w:rsid w:val="007E0340"/>
    <w:rsid w:val="007E1D4A"/>
    <w:rsid w:val="007E53C0"/>
    <w:rsid w:val="007E7703"/>
    <w:rsid w:val="007F4558"/>
    <w:rsid w:val="007F64DF"/>
    <w:rsid w:val="008050EF"/>
    <w:rsid w:val="0080652C"/>
    <w:rsid w:val="0080715F"/>
    <w:rsid w:val="008113D6"/>
    <w:rsid w:val="00812BA7"/>
    <w:rsid w:val="00813A87"/>
    <w:rsid w:val="00813F63"/>
    <w:rsid w:val="00815F57"/>
    <w:rsid w:val="0081760B"/>
    <w:rsid w:val="008218AC"/>
    <w:rsid w:val="00825359"/>
    <w:rsid w:val="00825E13"/>
    <w:rsid w:val="00826F07"/>
    <w:rsid w:val="008337CB"/>
    <w:rsid w:val="00834A3C"/>
    <w:rsid w:val="008360A0"/>
    <w:rsid w:val="00837658"/>
    <w:rsid w:val="00837CD4"/>
    <w:rsid w:val="00837F78"/>
    <w:rsid w:val="008400EE"/>
    <w:rsid w:val="00840791"/>
    <w:rsid w:val="00845576"/>
    <w:rsid w:val="00850708"/>
    <w:rsid w:val="00851024"/>
    <w:rsid w:val="008526D7"/>
    <w:rsid w:val="0086238C"/>
    <w:rsid w:val="008655DC"/>
    <w:rsid w:val="0086732D"/>
    <w:rsid w:val="00870183"/>
    <w:rsid w:val="00875726"/>
    <w:rsid w:val="00877F10"/>
    <w:rsid w:val="0088225D"/>
    <w:rsid w:val="00882F8D"/>
    <w:rsid w:val="00884FB0"/>
    <w:rsid w:val="008853A5"/>
    <w:rsid w:val="008944DA"/>
    <w:rsid w:val="00894D78"/>
    <w:rsid w:val="008A6A18"/>
    <w:rsid w:val="008B033F"/>
    <w:rsid w:val="008B4003"/>
    <w:rsid w:val="008B7443"/>
    <w:rsid w:val="008C179E"/>
    <w:rsid w:val="008C2379"/>
    <w:rsid w:val="008C4FF7"/>
    <w:rsid w:val="008C5C4C"/>
    <w:rsid w:val="008C7056"/>
    <w:rsid w:val="008C706D"/>
    <w:rsid w:val="008D3145"/>
    <w:rsid w:val="008E1A54"/>
    <w:rsid w:val="008E1F95"/>
    <w:rsid w:val="008E36B6"/>
    <w:rsid w:val="008E4267"/>
    <w:rsid w:val="008E4847"/>
    <w:rsid w:val="008E5FF1"/>
    <w:rsid w:val="008E63D2"/>
    <w:rsid w:val="008E6E14"/>
    <w:rsid w:val="008F1528"/>
    <w:rsid w:val="008F1AE5"/>
    <w:rsid w:val="008F55D9"/>
    <w:rsid w:val="009057DE"/>
    <w:rsid w:val="00905F97"/>
    <w:rsid w:val="00906FA3"/>
    <w:rsid w:val="0091239D"/>
    <w:rsid w:val="00912825"/>
    <w:rsid w:val="009129B8"/>
    <w:rsid w:val="00912B99"/>
    <w:rsid w:val="00912C78"/>
    <w:rsid w:val="00927892"/>
    <w:rsid w:val="009319B9"/>
    <w:rsid w:val="009351E9"/>
    <w:rsid w:val="00937862"/>
    <w:rsid w:val="00942279"/>
    <w:rsid w:val="009524EB"/>
    <w:rsid w:val="00962013"/>
    <w:rsid w:val="00963942"/>
    <w:rsid w:val="0096716C"/>
    <w:rsid w:val="009672B2"/>
    <w:rsid w:val="00971C66"/>
    <w:rsid w:val="00972363"/>
    <w:rsid w:val="0098419C"/>
    <w:rsid w:val="009843EF"/>
    <w:rsid w:val="009867F2"/>
    <w:rsid w:val="00991347"/>
    <w:rsid w:val="00996018"/>
    <w:rsid w:val="0099738E"/>
    <w:rsid w:val="009A493E"/>
    <w:rsid w:val="009A531F"/>
    <w:rsid w:val="009A6931"/>
    <w:rsid w:val="009B1F9A"/>
    <w:rsid w:val="009B1FA9"/>
    <w:rsid w:val="009B349F"/>
    <w:rsid w:val="009B4293"/>
    <w:rsid w:val="009B6715"/>
    <w:rsid w:val="009C7B74"/>
    <w:rsid w:val="009D0BE2"/>
    <w:rsid w:val="009D114E"/>
    <w:rsid w:val="009D210F"/>
    <w:rsid w:val="009D309C"/>
    <w:rsid w:val="009D37B1"/>
    <w:rsid w:val="009D4717"/>
    <w:rsid w:val="009D694D"/>
    <w:rsid w:val="009E264E"/>
    <w:rsid w:val="009F0C98"/>
    <w:rsid w:val="009F0F81"/>
    <w:rsid w:val="009F2543"/>
    <w:rsid w:val="009F256D"/>
    <w:rsid w:val="009F341E"/>
    <w:rsid w:val="009F57CE"/>
    <w:rsid w:val="00A117CA"/>
    <w:rsid w:val="00A12225"/>
    <w:rsid w:val="00A14C18"/>
    <w:rsid w:val="00A25898"/>
    <w:rsid w:val="00A3071D"/>
    <w:rsid w:val="00A3182E"/>
    <w:rsid w:val="00A31A89"/>
    <w:rsid w:val="00A32F06"/>
    <w:rsid w:val="00A34934"/>
    <w:rsid w:val="00A34EFE"/>
    <w:rsid w:val="00A36546"/>
    <w:rsid w:val="00A4069C"/>
    <w:rsid w:val="00A413B5"/>
    <w:rsid w:val="00A429CB"/>
    <w:rsid w:val="00A44E87"/>
    <w:rsid w:val="00A5063C"/>
    <w:rsid w:val="00A52749"/>
    <w:rsid w:val="00A5422E"/>
    <w:rsid w:val="00A56EC1"/>
    <w:rsid w:val="00A6350C"/>
    <w:rsid w:val="00A6370B"/>
    <w:rsid w:val="00A63A73"/>
    <w:rsid w:val="00A6655C"/>
    <w:rsid w:val="00A66CBB"/>
    <w:rsid w:val="00A6704E"/>
    <w:rsid w:val="00A67EA4"/>
    <w:rsid w:val="00A773FF"/>
    <w:rsid w:val="00A83AA1"/>
    <w:rsid w:val="00A906F4"/>
    <w:rsid w:val="00A9343A"/>
    <w:rsid w:val="00A9706C"/>
    <w:rsid w:val="00A97B34"/>
    <w:rsid w:val="00AA1B5C"/>
    <w:rsid w:val="00AA7A27"/>
    <w:rsid w:val="00AB3FB0"/>
    <w:rsid w:val="00AB465D"/>
    <w:rsid w:val="00AB713D"/>
    <w:rsid w:val="00AC114C"/>
    <w:rsid w:val="00AC1478"/>
    <w:rsid w:val="00AC6C2D"/>
    <w:rsid w:val="00AC6E17"/>
    <w:rsid w:val="00AD2FF3"/>
    <w:rsid w:val="00AD7764"/>
    <w:rsid w:val="00AD7FE2"/>
    <w:rsid w:val="00AE1284"/>
    <w:rsid w:val="00AE1B18"/>
    <w:rsid w:val="00AE7339"/>
    <w:rsid w:val="00AF1B0B"/>
    <w:rsid w:val="00AF242C"/>
    <w:rsid w:val="00AF3CC4"/>
    <w:rsid w:val="00B05903"/>
    <w:rsid w:val="00B12C7A"/>
    <w:rsid w:val="00B12E10"/>
    <w:rsid w:val="00B22BC3"/>
    <w:rsid w:val="00B25865"/>
    <w:rsid w:val="00B272B6"/>
    <w:rsid w:val="00B2771B"/>
    <w:rsid w:val="00B336E9"/>
    <w:rsid w:val="00B33AE5"/>
    <w:rsid w:val="00B35BE5"/>
    <w:rsid w:val="00B46965"/>
    <w:rsid w:val="00B54ED0"/>
    <w:rsid w:val="00B55D47"/>
    <w:rsid w:val="00B6204E"/>
    <w:rsid w:val="00B649EC"/>
    <w:rsid w:val="00B728DD"/>
    <w:rsid w:val="00B72D43"/>
    <w:rsid w:val="00B74121"/>
    <w:rsid w:val="00B80ABA"/>
    <w:rsid w:val="00B859FF"/>
    <w:rsid w:val="00B85C1B"/>
    <w:rsid w:val="00B85FF0"/>
    <w:rsid w:val="00B86150"/>
    <w:rsid w:val="00B878F9"/>
    <w:rsid w:val="00B9044A"/>
    <w:rsid w:val="00B960F3"/>
    <w:rsid w:val="00B96A31"/>
    <w:rsid w:val="00BA05E6"/>
    <w:rsid w:val="00BA51B0"/>
    <w:rsid w:val="00BA6319"/>
    <w:rsid w:val="00BC03B0"/>
    <w:rsid w:val="00BC06A3"/>
    <w:rsid w:val="00BC0CEA"/>
    <w:rsid w:val="00BC2220"/>
    <w:rsid w:val="00BC26B9"/>
    <w:rsid w:val="00BC26FA"/>
    <w:rsid w:val="00BC4E01"/>
    <w:rsid w:val="00BC73F6"/>
    <w:rsid w:val="00BD1177"/>
    <w:rsid w:val="00BD1374"/>
    <w:rsid w:val="00BD3531"/>
    <w:rsid w:val="00BD4E35"/>
    <w:rsid w:val="00BE34CA"/>
    <w:rsid w:val="00BF116A"/>
    <w:rsid w:val="00C0623C"/>
    <w:rsid w:val="00C06A07"/>
    <w:rsid w:val="00C132B6"/>
    <w:rsid w:val="00C21A6C"/>
    <w:rsid w:val="00C24A10"/>
    <w:rsid w:val="00C27003"/>
    <w:rsid w:val="00C27597"/>
    <w:rsid w:val="00C32BD4"/>
    <w:rsid w:val="00C33E48"/>
    <w:rsid w:val="00C3618B"/>
    <w:rsid w:val="00C403FB"/>
    <w:rsid w:val="00C4316E"/>
    <w:rsid w:val="00C441A2"/>
    <w:rsid w:val="00C5076B"/>
    <w:rsid w:val="00C512D4"/>
    <w:rsid w:val="00C51CF4"/>
    <w:rsid w:val="00C531E2"/>
    <w:rsid w:val="00C53204"/>
    <w:rsid w:val="00C57E34"/>
    <w:rsid w:val="00C64659"/>
    <w:rsid w:val="00C662E9"/>
    <w:rsid w:val="00C66C2D"/>
    <w:rsid w:val="00C7190B"/>
    <w:rsid w:val="00C76852"/>
    <w:rsid w:val="00C77210"/>
    <w:rsid w:val="00C777FA"/>
    <w:rsid w:val="00C77989"/>
    <w:rsid w:val="00C811F4"/>
    <w:rsid w:val="00C81E51"/>
    <w:rsid w:val="00C87B73"/>
    <w:rsid w:val="00C92444"/>
    <w:rsid w:val="00C92FBB"/>
    <w:rsid w:val="00C93327"/>
    <w:rsid w:val="00C97B4D"/>
    <w:rsid w:val="00CA5602"/>
    <w:rsid w:val="00CA5CA9"/>
    <w:rsid w:val="00CA78E2"/>
    <w:rsid w:val="00CB1BBE"/>
    <w:rsid w:val="00CB65DB"/>
    <w:rsid w:val="00CB6BD9"/>
    <w:rsid w:val="00CC293A"/>
    <w:rsid w:val="00CE19F6"/>
    <w:rsid w:val="00CE6B76"/>
    <w:rsid w:val="00CF366B"/>
    <w:rsid w:val="00CF5D9D"/>
    <w:rsid w:val="00CF606C"/>
    <w:rsid w:val="00CF7423"/>
    <w:rsid w:val="00D001F5"/>
    <w:rsid w:val="00D03E80"/>
    <w:rsid w:val="00D1505F"/>
    <w:rsid w:val="00D15B9F"/>
    <w:rsid w:val="00D15DD6"/>
    <w:rsid w:val="00D25548"/>
    <w:rsid w:val="00D2601F"/>
    <w:rsid w:val="00D27759"/>
    <w:rsid w:val="00D30028"/>
    <w:rsid w:val="00D325D3"/>
    <w:rsid w:val="00D408D6"/>
    <w:rsid w:val="00D511DD"/>
    <w:rsid w:val="00D55C2A"/>
    <w:rsid w:val="00D571C1"/>
    <w:rsid w:val="00D602F4"/>
    <w:rsid w:val="00D6457E"/>
    <w:rsid w:val="00D742E2"/>
    <w:rsid w:val="00D7580E"/>
    <w:rsid w:val="00D87DAF"/>
    <w:rsid w:val="00D9446D"/>
    <w:rsid w:val="00DA2994"/>
    <w:rsid w:val="00DB08E8"/>
    <w:rsid w:val="00DB0DED"/>
    <w:rsid w:val="00DB3073"/>
    <w:rsid w:val="00DB3BA9"/>
    <w:rsid w:val="00DB50FE"/>
    <w:rsid w:val="00DB5EDA"/>
    <w:rsid w:val="00DC2349"/>
    <w:rsid w:val="00DC3026"/>
    <w:rsid w:val="00DD1EDB"/>
    <w:rsid w:val="00DD57AA"/>
    <w:rsid w:val="00DE1578"/>
    <w:rsid w:val="00DE7F67"/>
    <w:rsid w:val="00DF0529"/>
    <w:rsid w:val="00DF09EF"/>
    <w:rsid w:val="00DF0D0F"/>
    <w:rsid w:val="00DF13D6"/>
    <w:rsid w:val="00DF27D6"/>
    <w:rsid w:val="00DF2BEA"/>
    <w:rsid w:val="00DF4488"/>
    <w:rsid w:val="00DF5B98"/>
    <w:rsid w:val="00DF6FA8"/>
    <w:rsid w:val="00DF701E"/>
    <w:rsid w:val="00DF7BE5"/>
    <w:rsid w:val="00E00D49"/>
    <w:rsid w:val="00E019A8"/>
    <w:rsid w:val="00E03A46"/>
    <w:rsid w:val="00E03C6D"/>
    <w:rsid w:val="00E0476F"/>
    <w:rsid w:val="00E04899"/>
    <w:rsid w:val="00E0796F"/>
    <w:rsid w:val="00E10948"/>
    <w:rsid w:val="00E24371"/>
    <w:rsid w:val="00E243AB"/>
    <w:rsid w:val="00E26641"/>
    <w:rsid w:val="00E2778F"/>
    <w:rsid w:val="00E278B0"/>
    <w:rsid w:val="00E33023"/>
    <w:rsid w:val="00E331F3"/>
    <w:rsid w:val="00E3498D"/>
    <w:rsid w:val="00E42425"/>
    <w:rsid w:val="00E43E55"/>
    <w:rsid w:val="00E4554E"/>
    <w:rsid w:val="00E46D22"/>
    <w:rsid w:val="00E4768F"/>
    <w:rsid w:val="00E53C0E"/>
    <w:rsid w:val="00E54F7E"/>
    <w:rsid w:val="00E560CE"/>
    <w:rsid w:val="00E5674E"/>
    <w:rsid w:val="00E63783"/>
    <w:rsid w:val="00E650E2"/>
    <w:rsid w:val="00E75CAD"/>
    <w:rsid w:val="00E76922"/>
    <w:rsid w:val="00E8595B"/>
    <w:rsid w:val="00E915EC"/>
    <w:rsid w:val="00EA11B1"/>
    <w:rsid w:val="00EA2224"/>
    <w:rsid w:val="00EA7194"/>
    <w:rsid w:val="00EB1329"/>
    <w:rsid w:val="00EB2987"/>
    <w:rsid w:val="00EB2D75"/>
    <w:rsid w:val="00EB34BE"/>
    <w:rsid w:val="00EB571A"/>
    <w:rsid w:val="00EC2804"/>
    <w:rsid w:val="00EC6117"/>
    <w:rsid w:val="00EC6138"/>
    <w:rsid w:val="00ED1DCF"/>
    <w:rsid w:val="00ED43C9"/>
    <w:rsid w:val="00EE2C60"/>
    <w:rsid w:val="00EE2E58"/>
    <w:rsid w:val="00EE487A"/>
    <w:rsid w:val="00EE734C"/>
    <w:rsid w:val="00EF6907"/>
    <w:rsid w:val="00EF6D91"/>
    <w:rsid w:val="00F01F54"/>
    <w:rsid w:val="00F04D4D"/>
    <w:rsid w:val="00F11DD8"/>
    <w:rsid w:val="00F12745"/>
    <w:rsid w:val="00F13766"/>
    <w:rsid w:val="00F20A77"/>
    <w:rsid w:val="00F22C60"/>
    <w:rsid w:val="00F231A4"/>
    <w:rsid w:val="00F23252"/>
    <w:rsid w:val="00F27B2A"/>
    <w:rsid w:val="00F31762"/>
    <w:rsid w:val="00F345D3"/>
    <w:rsid w:val="00F356ED"/>
    <w:rsid w:val="00F359B5"/>
    <w:rsid w:val="00F4144F"/>
    <w:rsid w:val="00F433F3"/>
    <w:rsid w:val="00F47F64"/>
    <w:rsid w:val="00F522D9"/>
    <w:rsid w:val="00F52F54"/>
    <w:rsid w:val="00F53584"/>
    <w:rsid w:val="00F61B24"/>
    <w:rsid w:val="00F62DE5"/>
    <w:rsid w:val="00F63F8A"/>
    <w:rsid w:val="00F6514E"/>
    <w:rsid w:val="00F703DC"/>
    <w:rsid w:val="00F71D06"/>
    <w:rsid w:val="00F73B46"/>
    <w:rsid w:val="00F73D01"/>
    <w:rsid w:val="00F7642B"/>
    <w:rsid w:val="00F76A43"/>
    <w:rsid w:val="00F80334"/>
    <w:rsid w:val="00F8139D"/>
    <w:rsid w:val="00F83DF9"/>
    <w:rsid w:val="00F85DA0"/>
    <w:rsid w:val="00F930AF"/>
    <w:rsid w:val="00F9352C"/>
    <w:rsid w:val="00F975B0"/>
    <w:rsid w:val="00FA15F1"/>
    <w:rsid w:val="00FA19F5"/>
    <w:rsid w:val="00FA4A69"/>
    <w:rsid w:val="00FA649A"/>
    <w:rsid w:val="00FB1248"/>
    <w:rsid w:val="00FB208D"/>
    <w:rsid w:val="00FB3CF4"/>
    <w:rsid w:val="00FB4A27"/>
    <w:rsid w:val="00FB4A49"/>
    <w:rsid w:val="00FB69B3"/>
    <w:rsid w:val="00FC6FBE"/>
    <w:rsid w:val="00FD1162"/>
    <w:rsid w:val="00FD2232"/>
    <w:rsid w:val="00FD4AE7"/>
    <w:rsid w:val="00FD65A9"/>
    <w:rsid w:val="00FD7508"/>
    <w:rsid w:val="00FE1E51"/>
    <w:rsid w:val="00FE2496"/>
    <w:rsid w:val="00FE6A2B"/>
    <w:rsid w:val="00FF0275"/>
    <w:rsid w:val="00FF07B3"/>
    <w:rsid w:val="00FF1E37"/>
    <w:rsid w:val="02F120AB"/>
    <w:rsid w:val="032B5196"/>
    <w:rsid w:val="04C3537C"/>
    <w:rsid w:val="0670440E"/>
    <w:rsid w:val="06AA0A36"/>
    <w:rsid w:val="079004AC"/>
    <w:rsid w:val="082E6602"/>
    <w:rsid w:val="09CA5477"/>
    <w:rsid w:val="0B5C7E78"/>
    <w:rsid w:val="0BA148CA"/>
    <w:rsid w:val="0C1165C4"/>
    <w:rsid w:val="0D6D544B"/>
    <w:rsid w:val="0DD136FE"/>
    <w:rsid w:val="0F8E2C57"/>
    <w:rsid w:val="1059665E"/>
    <w:rsid w:val="10AC13BA"/>
    <w:rsid w:val="145A6C1B"/>
    <w:rsid w:val="14B73493"/>
    <w:rsid w:val="16422BA0"/>
    <w:rsid w:val="167A2FF9"/>
    <w:rsid w:val="17E05399"/>
    <w:rsid w:val="18581C69"/>
    <w:rsid w:val="186D28E5"/>
    <w:rsid w:val="1AEC0734"/>
    <w:rsid w:val="1DEF20B0"/>
    <w:rsid w:val="203F7B83"/>
    <w:rsid w:val="214243FA"/>
    <w:rsid w:val="21AD613C"/>
    <w:rsid w:val="22467189"/>
    <w:rsid w:val="257A14F5"/>
    <w:rsid w:val="26C96B39"/>
    <w:rsid w:val="27196C26"/>
    <w:rsid w:val="29EF086F"/>
    <w:rsid w:val="2A014A0F"/>
    <w:rsid w:val="2A471636"/>
    <w:rsid w:val="2EFA69EA"/>
    <w:rsid w:val="2EFFE297"/>
    <w:rsid w:val="301437CA"/>
    <w:rsid w:val="32791381"/>
    <w:rsid w:val="349D1F0A"/>
    <w:rsid w:val="34B33DCB"/>
    <w:rsid w:val="34DD0473"/>
    <w:rsid w:val="397D04F8"/>
    <w:rsid w:val="3C181CA7"/>
    <w:rsid w:val="3C684897"/>
    <w:rsid w:val="3FC7285F"/>
    <w:rsid w:val="410E4C39"/>
    <w:rsid w:val="42A763F6"/>
    <w:rsid w:val="433E495C"/>
    <w:rsid w:val="45727494"/>
    <w:rsid w:val="460C6D3F"/>
    <w:rsid w:val="47883B11"/>
    <w:rsid w:val="47F53C75"/>
    <w:rsid w:val="489F2FD7"/>
    <w:rsid w:val="4AC27CB3"/>
    <w:rsid w:val="4AC50518"/>
    <w:rsid w:val="4BF72BEF"/>
    <w:rsid w:val="4D251DC6"/>
    <w:rsid w:val="4E023C00"/>
    <w:rsid w:val="4FA90297"/>
    <w:rsid w:val="4FC41A43"/>
    <w:rsid w:val="51DB3C59"/>
    <w:rsid w:val="544878F9"/>
    <w:rsid w:val="550C0952"/>
    <w:rsid w:val="55191F5D"/>
    <w:rsid w:val="55762E42"/>
    <w:rsid w:val="57A7B272"/>
    <w:rsid w:val="58470068"/>
    <w:rsid w:val="58747CAC"/>
    <w:rsid w:val="5A1720F9"/>
    <w:rsid w:val="5B9C37C2"/>
    <w:rsid w:val="5BA7C654"/>
    <w:rsid w:val="60A54109"/>
    <w:rsid w:val="612C6DE9"/>
    <w:rsid w:val="61D01CDF"/>
    <w:rsid w:val="64C0607C"/>
    <w:rsid w:val="65756C86"/>
    <w:rsid w:val="66BC66F8"/>
    <w:rsid w:val="674D385B"/>
    <w:rsid w:val="676837C9"/>
    <w:rsid w:val="676F09E1"/>
    <w:rsid w:val="6A8A6618"/>
    <w:rsid w:val="6AB07B02"/>
    <w:rsid w:val="6AE12932"/>
    <w:rsid w:val="71793A80"/>
    <w:rsid w:val="730A30A8"/>
    <w:rsid w:val="7357290B"/>
    <w:rsid w:val="786D782B"/>
    <w:rsid w:val="798524E4"/>
    <w:rsid w:val="7A7F1C49"/>
    <w:rsid w:val="7B5B7AE6"/>
    <w:rsid w:val="7B7B6628"/>
    <w:rsid w:val="7BA7071E"/>
    <w:rsid w:val="7BB813B2"/>
    <w:rsid w:val="7BDF6DA8"/>
    <w:rsid w:val="7BDF7589"/>
    <w:rsid w:val="7C7EDC1A"/>
    <w:rsid w:val="7CCED98D"/>
    <w:rsid w:val="7D08410F"/>
    <w:rsid w:val="7D2759BE"/>
    <w:rsid w:val="7DB16A63"/>
    <w:rsid w:val="7DB96DED"/>
    <w:rsid w:val="7DD3AD81"/>
    <w:rsid w:val="7F7FE70F"/>
    <w:rsid w:val="7FFF772F"/>
    <w:rsid w:val="95F35EF6"/>
    <w:rsid w:val="9BFFD860"/>
    <w:rsid w:val="AC5F73DE"/>
    <w:rsid w:val="B5DDD2C8"/>
    <w:rsid w:val="B9DFABD9"/>
    <w:rsid w:val="BC0D83FC"/>
    <w:rsid w:val="BF3BDEFB"/>
    <w:rsid w:val="C75F6086"/>
    <w:rsid w:val="C7F7ED2D"/>
    <w:rsid w:val="CFAF854E"/>
    <w:rsid w:val="D8D7928E"/>
    <w:rsid w:val="D8FE3136"/>
    <w:rsid w:val="DDDE60B7"/>
    <w:rsid w:val="DE9F6A22"/>
    <w:rsid w:val="DF4FCE6A"/>
    <w:rsid w:val="E4FED278"/>
    <w:rsid w:val="EDAA365C"/>
    <w:rsid w:val="EDADFC12"/>
    <w:rsid w:val="F2FD229B"/>
    <w:rsid w:val="F7F709E9"/>
    <w:rsid w:val="F7FF3690"/>
    <w:rsid w:val="F9BD3900"/>
    <w:rsid w:val="FC8B9876"/>
    <w:rsid w:val="FEDFF218"/>
    <w:rsid w:val="FEDFFFFF"/>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spacing w:before="100" w:beforeAutospacing="1" w:after="100" w:afterAutospacing="1"/>
      <w:outlineLvl w:val="1"/>
    </w:pPr>
    <w:rPr>
      <w:rFonts w:ascii="Cambria" w:hAnsi="Cambria" w:eastAsia="黑体"/>
      <w:b/>
      <w:bCs/>
      <w:kern w:val="0"/>
      <w:sz w:val="36"/>
      <w:szCs w:val="32"/>
    </w:rPr>
  </w:style>
  <w:style w:type="character" w:default="1" w:styleId="10">
    <w:name w:val="Default Paragraph Font"/>
    <w:unhideWhenUsed/>
    <w:qFormat/>
    <w:uiPriority w:val="1"/>
  </w:style>
  <w:style w:type="table" w:default="1" w:styleId="13">
    <w:name w:val="Normal Table"/>
    <w:unhideWhenUsed/>
    <w:qFormat/>
    <w:uiPriority w:val="99"/>
    <w:tblPr>
      <w:tblLayout w:type="fixed"/>
      <w:tblCellMar>
        <w:top w:w="0" w:type="dxa"/>
        <w:left w:w="108" w:type="dxa"/>
        <w:bottom w:w="0" w:type="dxa"/>
        <w:right w:w="108" w:type="dxa"/>
      </w:tblCellMar>
    </w:tblPr>
  </w:style>
  <w:style w:type="paragraph" w:styleId="3">
    <w:name w:val="Normal Indent"/>
    <w:basedOn w:val="1"/>
    <w:qFormat/>
    <w:uiPriority w:val="0"/>
    <w:pPr>
      <w:ind w:firstLine="200" w:firstLineChars="200"/>
    </w:pPr>
  </w:style>
  <w:style w:type="paragraph" w:styleId="4">
    <w:name w:val="Body Text Indent"/>
    <w:basedOn w:val="1"/>
    <w:qFormat/>
    <w:uiPriority w:val="0"/>
    <w:pPr>
      <w:ind w:firstLine="645"/>
    </w:pPr>
    <w:rPr>
      <w:rFonts w:ascii="仿宋_GB2312" w:hAnsi="Calibri" w:eastAsia="仿宋_GB2312"/>
      <w:sz w:val="32"/>
      <w:szCs w:val="32"/>
    </w:rPr>
  </w:style>
  <w:style w:type="paragraph" w:styleId="5">
    <w:name w:val="Date"/>
    <w:basedOn w:val="1"/>
    <w:next w:val="1"/>
    <w:qFormat/>
    <w:uiPriority w:val="0"/>
    <w:pPr>
      <w:ind w:left="100" w:leftChars="2500"/>
    </w:pPr>
  </w:style>
  <w:style w:type="paragraph" w:styleId="6">
    <w:name w:val="Balloon Text"/>
    <w:basedOn w:val="1"/>
    <w:semiHidden/>
    <w:qFormat/>
    <w:uiPriority w:val="0"/>
    <w:rPr>
      <w:sz w:val="18"/>
      <w:szCs w:val="18"/>
    </w:rPr>
  </w:style>
  <w:style w:type="paragraph" w:styleId="7">
    <w:name w:val="footer"/>
    <w:basedOn w:val="1"/>
    <w:link w:val="14"/>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rFonts w:ascii="Calibri" w:hAnsi="Calibri"/>
      <w:sz w:val="18"/>
      <w:szCs w:val="18"/>
    </w:rPr>
  </w:style>
  <w:style w:type="paragraph" w:styleId="9">
    <w:name w:val="Normal (Web)"/>
    <w:basedOn w:val="1"/>
    <w:unhideWhenUsed/>
    <w:qFormat/>
    <w:uiPriority w:val="0"/>
    <w:pPr>
      <w:spacing w:before="100" w:beforeAutospacing="1" w:after="100" w:afterAutospacing="1"/>
      <w:ind w:right="238"/>
      <w:jc w:val="left"/>
    </w:pPr>
    <w:rPr>
      <w:b/>
      <w:kern w:val="0"/>
      <w:sz w:val="24"/>
      <w:szCs w:val="20"/>
    </w:rPr>
  </w:style>
  <w:style w:type="character" w:styleId="11">
    <w:name w:val="Strong"/>
    <w:qFormat/>
    <w:uiPriority w:val="0"/>
    <w:rPr>
      <w:b/>
    </w:rPr>
  </w:style>
  <w:style w:type="character" w:styleId="12">
    <w:name w:val="page number"/>
    <w:qFormat/>
    <w:uiPriority w:val="0"/>
  </w:style>
  <w:style w:type="character" w:customStyle="1" w:styleId="14">
    <w:name w:val="页脚 Char"/>
    <w:link w:val="7"/>
    <w:qFormat/>
    <w:uiPriority w:val="0"/>
    <w:rPr>
      <w:rFonts w:eastAsia="宋体"/>
      <w:kern w:val="2"/>
      <w:sz w:val="18"/>
      <w:szCs w:val="18"/>
      <w:lang w:val="en-US" w:eastAsia="zh-CN" w:bidi="ar-SA"/>
    </w:rPr>
  </w:style>
  <w:style w:type="character" w:customStyle="1" w:styleId="15">
    <w:name w:val="页眉 Char"/>
    <w:link w:val="8"/>
    <w:qFormat/>
    <w:uiPriority w:val="0"/>
    <w:rPr>
      <w:rFonts w:ascii="Calibri" w:hAnsi="Calibri" w:eastAsia="宋体"/>
      <w:kern w:val="2"/>
      <w:sz w:val="18"/>
      <w:szCs w:val="18"/>
      <w:lang w:val="en-US" w:eastAsia="zh-CN" w:bidi="ar-SA"/>
    </w:rPr>
  </w:style>
  <w:style w:type="paragraph" w:customStyle="1" w:styleId="16">
    <w:name w:val="Char Char Char Char Char Char Char"/>
    <w:basedOn w:val="1"/>
    <w:qFormat/>
    <w:uiPriority w:val="0"/>
    <w:rPr>
      <w:rFonts w:ascii="Tahoma" w:hAnsi="Tahoma"/>
      <w:sz w:val="24"/>
      <w:szCs w:val="20"/>
    </w:rPr>
  </w:style>
  <w:style w:type="paragraph" w:customStyle="1" w:styleId="17">
    <w:name w:val="Char1 Char Char Char"/>
    <w:basedOn w:val="1"/>
    <w:qFormat/>
    <w:uiPriority w:val="0"/>
    <w:pPr>
      <w:widowControl/>
      <w:spacing w:after="160" w:line="240" w:lineRule="exact"/>
      <w:jc w:val="left"/>
    </w:pPr>
    <w:rPr>
      <w:szCs w:val="20"/>
    </w:rPr>
  </w:style>
  <w:style w:type="paragraph" w:customStyle="1" w:styleId="18">
    <w:name w:val="Char"/>
    <w:basedOn w:val="1"/>
    <w:qFormat/>
    <w:uiPriority w:val="0"/>
    <w:rPr>
      <w:rFonts w:ascii="Tahoma" w:hAnsi="Tahoma"/>
      <w:sz w:val="24"/>
      <w:szCs w:val="20"/>
    </w:rPr>
  </w:style>
  <w:style w:type="paragraph" w:customStyle="1" w:styleId="19">
    <w:name w:val="Char Char3 Char Char"/>
    <w:basedOn w:val="1"/>
    <w:qFormat/>
    <w:uiPriority w:val="0"/>
    <w:rPr>
      <w:szCs w:val="21"/>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chart" Target="charts/chart2.xml"/><Relationship Id="rId7" Type="http://schemas.openxmlformats.org/officeDocument/2006/relationships/chart" Target="charts/chart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收入</c:v>
                </c:pt>
              </c:strCache>
            </c:strRef>
          </c:tx>
          <c:spPr>
            <a:effectLst/>
          </c:spPr>
          <c:explosion val="0"/>
          <c:dPt>
            <c:idx val="0"/>
            <c:bubble3D val="0"/>
            <c:explosion val="0"/>
            <c:spPr>
              <a:solidFill>
                <a:schemeClr val="accent1"/>
              </a:solidFill>
              <a:ln>
                <a:noFill/>
              </a:ln>
              <a:effectLst/>
            </c:spPr>
          </c:dPt>
          <c:dPt>
            <c:idx val="1"/>
            <c:bubble3D val="0"/>
            <c:explosion val="0"/>
            <c:spPr>
              <a:solidFill>
                <a:schemeClr val="accent2"/>
              </a:solidFill>
              <a:ln>
                <a:noFill/>
              </a:ln>
              <a:effectLst/>
            </c:spPr>
          </c:dPt>
          <c:dPt>
            <c:idx val="2"/>
            <c:bubble3D val="0"/>
            <c:explosion val="0"/>
            <c:spPr>
              <a:solidFill>
                <a:schemeClr val="accent3"/>
              </a:solidFill>
              <a:ln>
                <a:noFill/>
              </a:ln>
              <a:effectLst/>
            </c:spPr>
          </c:dPt>
          <c:dPt>
            <c:idx val="3"/>
            <c:bubble3D val="0"/>
            <c:explosion val="0"/>
            <c:spPr>
              <a:solidFill>
                <a:schemeClr val="accent4"/>
              </a:solidFill>
              <a:ln>
                <a:noFill/>
              </a:ln>
              <a:effectLst/>
            </c:spPr>
          </c:dPt>
          <c:dPt>
            <c:idx val="4"/>
            <c:bubble3D val="0"/>
            <c:explosion val="0"/>
            <c:spPr>
              <a:solidFill>
                <a:schemeClr val="accent5"/>
              </a:solidFill>
              <a:ln>
                <a:noFill/>
              </a:ln>
              <a:effectLst/>
            </c:spPr>
          </c:dPt>
          <c:dPt>
            <c:idx val="5"/>
            <c:bubble3D val="0"/>
            <c:explosion val="0"/>
            <c:spPr>
              <a:solidFill>
                <a:schemeClr val="accent6"/>
              </a:solidFill>
              <a:ln>
                <a:noFill/>
              </a:ln>
              <a:effectLst/>
            </c:spPr>
          </c:dPt>
          <c:dLbls>
            <c:dLbl>
              <c:idx val="3"/>
              <c:layout>
                <c:manualLayout>
                  <c:x val="-0.0417201621449759"/>
                  <c:y val="0.0195651441120276"/>
                </c:manualLayout>
              </c:layout>
              <c:numFmt formatCode="General" sourceLinked="1"/>
              <c:dLblPos val="bestFit"/>
              <c:showLegendKey val="0"/>
              <c:showVal val="0"/>
              <c:showCatName val="0"/>
              <c:showSerName val="0"/>
              <c:showPercent val="1"/>
              <c:showBubbleSize val="0"/>
              <c:extLst>
                <c:ext xmlns:c15="http://schemas.microsoft.com/office/drawing/2012/chart" uri="{CE6537A1-D6FC-4f65-9D91-7224C49458BB}">
                  <c15:layout>
                    <c:manualLayout>
                      <c:w val="0.112159823816266"/>
                      <c:h val="0.0668121079901827"/>
                    </c:manualLayout>
                  </c15:layout>
                </c:ext>
              </c:extLst>
            </c:dLbl>
            <c:dLbl>
              <c:idx val="4"/>
              <c:layout>
                <c:manualLayout>
                  <c:x val="-0.0106923305755962"/>
                  <c:y val="-0.00753171369009083"/>
                </c:manualLayout>
              </c:layout>
              <c:numFmt formatCode="General" sourceLinked="1"/>
              <c:dLblPos val="bestFit"/>
              <c:showLegendKey val="0"/>
              <c:showVal val="0"/>
              <c:showCatName val="0"/>
              <c:showSerName val="0"/>
              <c:showPercent val="1"/>
              <c:showBubbleSize val="0"/>
              <c:extLst>
                <c:ext xmlns:c15="http://schemas.microsoft.com/office/drawing/2012/chart" uri="{CE6537A1-D6FC-4f65-9D91-7224C49458BB}">
                  <c15:layout/>
                </c:ext>
              </c:extLst>
            </c:dLbl>
            <c:dLbl>
              <c:idx val="5"/>
              <c:layout>
                <c:manualLayout>
                  <c:x val="0.0278266967366899"/>
                  <c:y val="0.0106544449161943"/>
                </c:manualLayout>
              </c:layout>
              <c:numFmt formatCode="General" sourceLinked="1"/>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horzOverflow="overflow" vert="horz" wrap="square" lIns="38100" tIns="19050" rIns="38100" bIns="19050" anchor="ctr" anchorCtr="1"/>
              <a:lstStyle/>
              <a:p>
                <a:pPr>
                  <a:defRPr lang="zh-CN" sz="10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noFill/>
                    <a:ln w="9525" cap="flat" cmpd="sng" algn="ctr">
                      <a:solidFill>
                        <a:schemeClr val="tx1"/>
                      </a:solidFill>
                      <a:prstDash val="solid"/>
                    </a:ln>
                    <a:effectLst/>
                  </c:spPr>
                </c15:leaderLines>
              </c:ext>
            </c:extLst>
          </c:dLbls>
          <c:cat>
            <c:strRef>
              <c:f>Sheet1!$A$2:$A$7</c:f>
              <c:strCache>
                <c:ptCount val="6"/>
                <c:pt idx="0">
                  <c:v>财政拨款收入</c:v>
                </c:pt>
                <c:pt idx="1">
                  <c:v>上级补助收入</c:v>
                </c:pt>
                <c:pt idx="2">
                  <c:v>事业收入</c:v>
                </c:pt>
                <c:pt idx="3">
                  <c:v>经营收入</c:v>
                </c:pt>
                <c:pt idx="4">
                  <c:v>附属单位上缴</c:v>
                </c:pt>
                <c:pt idx="5">
                  <c:v>其他收入</c:v>
                </c:pt>
              </c:strCache>
            </c:strRef>
          </c:cat>
          <c:val>
            <c:numRef>
              <c:f>Sheet1!$B$2:$B$7</c:f>
              <c:numCache>
                <c:formatCode>General</c:formatCode>
                <c:ptCount val="6"/>
                <c:pt idx="0" c:formatCode="General">
                  <c:v>9787.32</c:v>
                </c:pt>
                <c:pt idx="1" c:formatCode="General">
                  <c:v>0</c:v>
                </c:pt>
                <c:pt idx="2" c:formatCode="General">
                  <c:v>0</c:v>
                </c:pt>
                <c:pt idx="3" c:formatCode="General">
                  <c:v>0</c:v>
                </c:pt>
                <c:pt idx="4" c:formatCode="General">
                  <c:v>0</c:v>
                </c:pt>
                <c:pt idx="5" c:formatCode="General">
                  <c:v>0</c:v>
                </c:pt>
              </c:numCache>
            </c:numRef>
          </c:val>
        </c:ser>
        <c:dLbls>
          <c:dLblPos val="bestFit"/>
          <c:showLegendKey val="0"/>
          <c:showVal val="1"/>
          <c:showCatName val="0"/>
          <c:showSerName val="0"/>
          <c:showPercent val="0"/>
          <c:showBubbleSize val="0"/>
          <c:showLeaderLines val="1"/>
        </c:dLbls>
        <c:firstSliceAng val="0"/>
      </c:pieChart>
      <c:spPr>
        <a:solidFill>
          <a:schemeClr val="bg1"/>
        </a:solidFill>
        <a:ln>
          <a:noFill/>
        </a:ln>
        <a:effectLst/>
      </c:spPr>
    </c:plotArea>
    <c:legend>
      <c:legendPos val="r"/>
      <c:layout/>
      <c:overlay val="0"/>
      <c:spPr>
        <a:noFill/>
        <a:ln>
          <a:noFill/>
        </a:ln>
        <a:effectLst/>
      </c:spPr>
      <c:txPr>
        <a:bodyPr rot="0" spcFirstLastPara="0" vertOverflow="ellipsis" horzOverflow="overflow" vert="horz" wrap="square" anchor="ctr" anchorCtr="1"/>
        <a:lstStyle/>
        <a:p>
          <a:pPr>
            <a:defRPr lang="zh-CN" sz="1000" b="0" i="0" u="none" strike="noStrike" kern="1200" baseline="0">
              <a:solidFill>
                <a:schemeClr val="tx1"/>
              </a:solidFill>
              <a:latin typeface="+mn-lt"/>
              <a:ea typeface="+mn-ea"/>
              <a:cs typeface="+mn-cs"/>
            </a:defRPr>
          </a:pPr>
        </a:p>
      </c:txPr>
    </c:legend>
    <c:plotVisOnly val="1"/>
    <c:dispBlanksAs val="gap"/>
    <c:showDLblsOverMax val="0"/>
  </c:chart>
  <c:spPr>
    <a:solidFill>
      <a:schemeClr val="bg1"/>
    </a:solidFill>
    <a:ln w="9525" cap="flat" cmpd="sng" algn="ctr">
      <a:solidFill>
        <a:schemeClr val="tx1">
          <a:tint val="75000"/>
        </a:schemeClr>
      </a:solidFill>
      <a:prstDash val="solid"/>
    </a:ln>
    <a:effectLst/>
  </c:spPr>
  <c:txPr>
    <a:bodyPr rot="0" spcFirstLastPara="0" vertOverflow="ellipsis" horzOverflow="overflow" vert="horz" wrap="square" anchor="ctr" anchorCtr="1"/>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Sheet0!$B$1</c:f>
              <c:strCache>
                <c:ptCount val="1"/>
                <c:pt idx="0">
                  <c:v>支出</c:v>
                </c:pt>
              </c:strCache>
            </c:strRef>
          </c:tx>
          <c:spPr>
            <a:effectLst/>
          </c:spPr>
          <c:explosion val="0"/>
          <c:dPt>
            <c:idx val="0"/>
            <c:bubble3D val="0"/>
            <c:explosion val="0"/>
            <c:spPr>
              <a:solidFill>
                <a:srgbClr val="4F81BD"/>
              </a:solidFill>
              <a:ln w="19050">
                <a:solidFill>
                  <a:srgbClr val="FFFFFF"/>
                </a:solidFill>
              </a:ln>
              <a:effectLst/>
            </c:spPr>
          </c:dPt>
          <c:dPt>
            <c:idx val="1"/>
            <c:bubble3D val="0"/>
            <c:explosion val="0"/>
            <c:spPr>
              <a:solidFill>
                <a:srgbClr val="C0504D"/>
              </a:solidFill>
              <a:ln w="19050">
                <a:solidFill>
                  <a:srgbClr val="FFFFFF"/>
                </a:solidFill>
              </a:ln>
              <a:effectLst/>
            </c:spPr>
          </c:dPt>
          <c:dPt>
            <c:idx val="2"/>
            <c:bubble3D val="0"/>
            <c:explosion val="0"/>
            <c:spPr>
              <a:solidFill>
                <a:srgbClr val="9BBB59"/>
              </a:solidFill>
              <a:ln w="19050">
                <a:solidFill>
                  <a:srgbClr val="FFFFFF"/>
                </a:solidFill>
              </a:ln>
              <a:effectLst/>
            </c:spPr>
          </c:dPt>
          <c:dPt>
            <c:idx val="3"/>
            <c:bubble3D val="0"/>
            <c:explosion val="0"/>
            <c:spPr>
              <a:solidFill>
                <a:srgbClr val="8064A2"/>
              </a:solidFill>
              <a:ln w="19050">
                <a:solidFill>
                  <a:srgbClr val="FFFFFF"/>
                </a:solidFill>
              </a:ln>
              <a:effectLst/>
            </c:spPr>
          </c:dPt>
          <c:dPt>
            <c:idx val="4"/>
            <c:bubble3D val="0"/>
            <c:explosion val="0"/>
            <c:spPr>
              <a:solidFill>
                <a:srgbClr val="4BACC6"/>
              </a:solidFill>
              <a:ln w="19050">
                <a:solidFill>
                  <a:srgbClr val="FFFFFF"/>
                </a:solidFill>
              </a:ln>
              <a:effectLst/>
            </c:spPr>
          </c:dPt>
          <c:dLbls>
            <c:dLbl>
              <c:idx val="2"/>
              <c:layout>
                <c:manualLayout>
                  <c:x val="-0.03900372940115"/>
                  <c:y val="0.0328271436107878"/>
                </c:manualLayout>
              </c:layout>
              <c:numFmt formatCode="General" sourceLinked="1"/>
              <c:dLblPos val="bestFit"/>
              <c:showLegendKey val="0"/>
              <c:showVal val="0"/>
              <c:showCatName val="0"/>
              <c:showSerName val="0"/>
              <c:showPercent val="1"/>
              <c:showBubbleSize val="0"/>
              <c:extLst>
                <c:ext xmlns:c15="http://schemas.microsoft.com/office/drawing/2012/chart" uri="{CE6537A1-D6FC-4f65-9D91-7224C49458BB}">
                  <c15:layout/>
                </c:ext>
              </c:extLst>
            </c:dLbl>
            <c:dLbl>
              <c:idx val="4"/>
              <c:layout>
                <c:manualLayout>
                  <c:x val="0.0389887693586102"/>
                  <c:y val="0.0105112295100623"/>
                </c:manualLayout>
              </c:layout>
              <c:numFmt formatCode="General" sourceLinked="1"/>
              <c:dLblPos val="bestFit"/>
              <c:showLegendKey val="0"/>
              <c:showVal val="0"/>
              <c:showCatName val="0"/>
              <c:showSerName val="0"/>
              <c:showPercent val="1"/>
              <c:showBubbleSize val="0"/>
              <c:extLst>
                <c:ext xmlns:c15="http://schemas.microsoft.com/office/drawing/2012/chart" uri="{CE6537A1-D6FC-4f65-9D91-7224C49458BB}">
                  <c15:layout/>
                </c:ext>
              </c:extLst>
            </c:dLbl>
            <c:numFmt formatCode="0.00%" sourceLinked="0"/>
            <c:spPr>
              <a:noFill/>
              <a:ln>
                <a:noFill/>
              </a:ln>
              <a:effectLst/>
            </c:spPr>
            <c:txPr>
              <a:bodyPr rot="0" spcFirstLastPara="0" vertOverflow="ellipsis" horzOverflow="overflow" vert="horz" wrap="square" lIns="38100" tIns="19050" rIns="38100" bIns="19050" anchor="ctr" anchorCtr="1"/>
              <a:lstStyle/>
              <a:p>
                <a:pPr>
                  <a:defRPr lang="zh-CN" sz="900" b="0" i="0" u="none" strike="noStrike" kern="1200" baseline="0">
                    <a:solidFill>
                      <a:schemeClr val="tx1"/>
                    </a:solidFill>
                    <a:latin typeface="+mn-lt"/>
                    <a:ea typeface="+mn-ea"/>
                    <a:cs typeface="+mn-cs"/>
                  </a:defRPr>
                </a:pPr>
              </a:p>
            </c:txPr>
            <c:dLblPos val="bestFit"/>
            <c:showLegendKey val="0"/>
            <c:showVal val="0"/>
            <c:showCatName val="0"/>
            <c:showSerName val="0"/>
            <c:showPercent val="1"/>
            <c:showBubbleSize val="0"/>
            <c:showLeaderLines val="1"/>
            <c:extLst>
              <c:ext xmlns:c15="http://schemas.microsoft.com/office/drawing/2012/chart" uri="{CE6537A1-D6FC-4f65-9D91-7224C49458BB}">
                <c15:layout/>
                <c15:showLeaderLines val="1"/>
                <c15:leaderLines>
                  <c:spPr>
                    <a:noFill/>
                    <a:ln w="9525" cap="flat" cmpd="sng" algn="ctr">
                      <a:solidFill>
                        <a:srgbClr val="A6A6A6">
                          <a:lumMod val="35000"/>
                          <a:lumOff val="65000"/>
                        </a:srgbClr>
                      </a:solidFill>
                      <a:prstDash val="solid"/>
                      <a:round/>
                    </a:ln>
                    <a:effectLst/>
                  </c:spPr>
                </c15:leaderLines>
              </c:ext>
            </c:extLst>
          </c:dLbls>
          <c:cat>
            <c:strRef>
              <c:f>Sheet0!$A$2:$A$6</c:f>
              <c:strCache>
                <c:ptCount val="5"/>
                <c:pt idx="0">
                  <c:v>基本支出</c:v>
                </c:pt>
                <c:pt idx="1">
                  <c:v>项目支出</c:v>
                </c:pt>
                <c:pt idx="2">
                  <c:v>上缴上级支出</c:v>
                </c:pt>
                <c:pt idx="3">
                  <c:v>经营支出</c:v>
                </c:pt>
                <c:pt idx="4">
                  <c:v>对附属单位补助支出</c:v>
                </c:pt>
              </c:strCache>
            </c:strRef>
          </c:cat>
          <c:val>
            <c:numRef>
              <c:f>Sheet0!$B$2:$B$6</c:f>
              <c:numCache>
                <c:formatCode>General</c:formatCode>
                <c:ptCount val="5"/>
                <c:pt idx="0" c:formatCode="General">
                  <c:v>5394.55</c:v>
                </c:pt>
                <c:pt idx="1" c:formatCode="General">
                  <c:v>4392.77</c:v>
                </c:pt>
                <c:pt idx="2" c:formatCode="General">
                  <c:v>0</c:v>
                </c:pt>
                <c:pt idx="3" c:formatCode="General">
                  <c:v>0</c:v>
                </c:pt>
                <c:pt idx="4" c:formatCode="General">
                  <c:v>0</c:v>
                </c:pt>
              </c:numCache>
            </c:numRef>
          </c:val>
        </c:ser>
        <c:dLbls>
          <c:dLblPos val="bestFit"/>
          <c:showLegendKey val="0"/>
          <c:showVal val="0"/>
          <c:showCatName val="0"/>
          <c:showSerName val="0"/>
          <c:showPercent val="1"/>
          <c:showBubbleSize val="0"/>
          <c:showLeaderLines val="1"/>
        </c:dLbls>
        <c:firstSliceAng val="0"/>
      </c:pieChart>
      <c:spPr>
        <a:noFill/>
        <a:ln>
          <a:noFill/>
        </a:ln>
        <a:effectLst/>
      </c:spPr>
    </c:plotArea>
    <c:legend>
      <c:legendPos val="b"/>
      <c:legendEntry>
        <c:idx val="0"/>
        <c:txPr>
          <a:bodyPr rot="0" spcFirstLastPara="0" vertOverflow="ellipsis" horzOverflow="overflow" vert="horz" wrap="square" anchor="ctr" anchorCtr="1"/>
          <a:lstStyle/>
          <a:p>
            <a:pPr>
              <a:defRPr lang="zh-CN" sz="900" b="0" i="0" u="none" strike="noStrike" kern="1200" baseline="0">
                <a:solidFill>
                  <a:schemeClr val="tx1"/>
                </a:solidFill>
                <a:latin typeface="+mn-lt"/>
                <a:ea typeface="+mn-ea"/>
                <a:cs typeface="+mn-cs"/>
              </a:defRPr>
            </a:pPr>
          </a:p>
        </c:txPr>
      </c:legendEntry>
      <c:legendEntry>
        <c:idx val="1"/>
        <c:txPr>
          <a:bodyPr rot="0" spcFirstLastPara="0" vertOverflow="ellipsis" horzOverflow="overflow" vert="horz" wrap="square" anchor="ctr" anchorCtr="1"/>
          <a:lstStyle/>
          <a:p>
            <a:pPr>
              <a:defRPr lang="zh-CN" sz="900" b="0" i="0" u="none" strike="noStrike" kern="1200" baseline="0">
                <a:solidFill>
                  <a:schemeClr val="tx1"/>
                </a:solidFill>
                <a:latin typeface="+mn-lt"/>
                <a:ea typeface="+mn-ea"/>
                <a:cs typeface="+mn-cs"/>
              </a:defRPr>
            </a:pPr>
          </a:p>
        </c:txPr>
      </c:legendEntry>
      <c:legendEntry>
        <c:idx val="2"/>
        <c:txPr>
          <a:bodyPr rot="0" spcFirstLastPara="0" vertOverflow="ellipsis" horzOverflow="overflow" vert="horz" wrap="square" anchor="ctr" anchorCtr="1"/>
          <a:lstStyle/>
          <a:p>
            <a:pPr>
              <a:defRPr lang="zh-CN" sz="900" b="0" i="0" u="none" strike="noStrike" kern="1200" baseline="0">
                <a:solidFill>
                  <a:schemeClr val="tx1"/>
                </a:solidFill>
                <a:latin typeface="+mn-lt"/>
                <a:ea typeface="+mn-ea"/>
                <a:cs typeface="+mn-cs"/>
              </a:defRPr>
            </a:pPr>
          </a:p>
        </c:txPr>
      </c:legendEntry>
      <c:legendEntry>
        <c:idx val="3"/>
        <c:txPr>
          <a:bodyPr rot="0" spcFirstLastPara="0" vertOverflow="ellipsis" horzOverflow="overflow" vert="horz" wrap="square" anchor="ctr" anchorCtr="1"/>
          <a:lstStyle/>
          <a:p>
            <a:pPr>
              <a:defRPr lang="zh-CN" sz="900" b="0" i="0" u="none" strike="noStrike" kern="1200" baseline="0">
                <a:solidFill>
                  <a:schemeClr val="tx1"/>
                </a:solidFill>
                <a:latin typeface="+mn-lt"/>
                <a:ea typeface="+mn-ea"/>
                <a:cs typeface="+mn-cs"/>
              </a:defRPr>
            </a:pPr>
          </a:p>
        </c:txPr>
      </c:legendEntry>
      <c:legendEntry>
        <c:idx val="4"/>
        <c:txPr>
          <a:bodyPr rot="0" spcFirstLastPara="0" vertOverflow="ellipsis" horzOverflow="overflow" vert="horz" wrap="square" anchor="ctr" anchorCtr="1"/>
          <a:lstStyle/>
          <a:p>
            <a:pPr>
              <a:defRPr lang="zh-CN" sz="900" b="0" i="0" u="none" strike="noStrike" kern="1200" baseline="0">
                <a:solidFill>
                  <a:schemeClr val="tx1"/>
                </a:solidFill>
                <a:latin typeface="+mn-lt"/>
                <a:ea typeface="+mn-ea"/>
                <a:cs typeface="+mn-cs"/>
              </a:defRPr>
            </a:pPr>
          </a:p>
        </c:txPr>
      </c:legendEntry>
      <c:layout/>
      <c:overlay val="0"/>
      <c:spPr>
        <a:noFill/>
        <a:ln>
          <a:noFill/>
        </a:ln>
        <a:effectLst/>
      </c:spPr>
      <c:txPr>
        <a:bodyPr rot="0" spcFirstLastPara="0" vertOverflow="ellipsis" horzOverflow="overflow" vert="horz" wrap="square" anchor="ctr" anchorCtr="1"/>
        <a:lstStyle/>
        <a:p>
          <a:pPr>
            <a:defRPr lang="zh-CN" sz="900" b="0" i="0" u="none" strike="noStrike" kern="1200" baseline="0">
              <a:solidFill>
                <a:schemeClr val="tx1"/>
              </a:solidFill>
              <a:latin typeface="+mn-lt"/>
              <a:ea typeface="+mn-ea"/>
              <a:cs typeface="+mn-cs"/>
            </a:defRPr>
          </a:pPr>
        </a:p>
      </c:txPr>
    </c:legend>
    <c:plotVisOnly val="1"/>
    <c:dispBlanksAs val="gap"/>
    <c:showDLblsOverMax val="0"/>
  </c:chart>
  <c:spPr>
    <a:solidFill>
      <a:schemeClr val="bg1"/>
    </a:solidFill>
    <a:ln w="9525" cap="flat" cmpd="sng" algn="ctr">
      <a:solidFill>
        <a:srgbClr val="D9D9D9">
          <a:lumMod val="15000"/>
          <a:lumOff val="85000"/>
        </a:srgbClr>
      </a:solidFill>
      <a:prstDash val="solid"/>
      <a:round/>
    </a:ln>
    <a:effectLst/>
  </c:spPr>
  <c:txPr>
    <a:bodyPr rot="0" spcFirstLastPara="0" vertOverflow="ellipsis" horzOverflow="overflow" vert="horz" wrap="square" anchor="ctr" anchorCtr="1"/>
    <a:lstStyle/>
    <a:p>
      <a:pPr>
        <a:defRPr lang="zh-CN"/>
      </a:pPr>
    </a:p>
  </c:txPr>
  <c:externalData r:id="rId1">
    <c:autoUpdate val="0"/>
  </c:externalData>
</c:chartSpace>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258</Words>
  <Characters>303</Characters>
  <Lines>44</Lines>
  <Paragraphs>12</Paragraphs>
  <ScaleCrop>false</ScaleCrop>
  <LinksUpToDate>false</LinksUpToDate>
  <CharactersWithSpaces>315</CharactersWithSpaces>
  <Application>WPS Office_10.8.0.5648_F1E327BC-269C-435d-A152-05C5408002CA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2017-07-11T15:16:00Z</dcterms:created>
  <dc:creator>常程</dc:creator>
  <cp:lastModifiedBy>Administrator</cp:lastModifiedBy>
  <cp:lastPrinted>2026-08-24T01:13:00Z</cp:lastPrinted>
  <dcterms:modified xsi:type="dcterms:W3CDTF">2026-09-03T01:24:26Z</dcterms:modified>
  <dc:title>北京市财政局关于做好向市人大常委会报送2015年度市级部门决算（草案）</dc:title>
  <cp:revision>23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2052-10.8.0.5648</vt:lpwstr>
  </property>
  <property fmtid="{D5CDD505-2E9C-101B-9397-08002B2CF9AE}" pid="3" name="ICV">
    <vt:lpwstr>6DCD493EC1F9411188B02F1E56F15575_13</vt:lpwstr>
  </property>
  <property fmtid="{D5CDD505-2E9C-101B-9397-08002B2CF9AE}" pid="4" name="KSOTemplateDocerSaveRecord">
    <vt:lpwstr>eyJoZGlkIjoiYjNlN2I2OGQxOGI1NmIxMWI3ZTg2MzgyOGIwNzE1YjAiLCJ1c2VySWQiOiI2NzgwOTI3MjgifQ==</vt:lpwstr>
  </property>
</Properties>
</file>