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北京市朝阳区红十字会</w:t>
      </w:r>
      <w:r>
        <w:rPr>
          <w:rFonts w:hint="eastAsia" w:ascii="方正小标宋简体" w:eastAsia="方正小标宋简体"/>
          <w:sz w:val="36"/>
          <w:szCs w:val="36"/>
        </w:rPr>
        <w:t>部门整体绩效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评价</w:t>
      </w:r>
      <w:r>
        <w:rPr>
          <w:rFonts w:hint="eastAsia" w:ascii="方正小标宋简体" w:eastAsia="方正小标宋简体"/>
          <w:sz w:val="36"/>
          <w:szCs w:val="36"/>
        </w:rPr>
        <w:t>报告</w:t>
      </w:r>
    </w:p>
    <w:p>
      <w:pPr>
        <w:spacing w:line="560" w:lineRule="exact"/>
        <w:jc w:val="center"/>
        <w:rPr>
          <w:rFonts w:hint="eastAsia" w:ascii="方正小标宋简体" w:eastAsia="方正小标宋简体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2024年度</w:t>
      </w:r>
    </w:p>
    <w:p>
      <w:pPr>
        <w:jc w:val="center"/>
        <w:rPr>
          <w:rFonts w:ascii="仿宋_GB2312"/>
          <w:szCs w:val="30"/>
        </w:rPr>
      </w:pPr>
    </w:p>
    <w:p>
      <w:pPr>
        <w:spacing w:line="600" w:lineRule="exact"/>
        <w:ind w:firstLine="640" w:firstLineChars="200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一、部门概况</w:t>
      </w:r>
    </w:p>
    <w:p>
      <w:p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（一）机构设置及职责工作任务情况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1、部门机构设置：根据《关于调整朝阳区红十字会机关管理体制的通知》（朝编【2005】1号）设立，内设办公室、业务科。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2、部门职责：</w:t>
      </w:r>
      <w:bookmarkStart w:id="2" w:name="_GoBack"/>
      <w:bookmarkEnd w:id="2"/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宣传、贯彻《中华人民共和国红十字会法》、执行《中国红十字会章程》，组织落实中国红十字会工作的方针、政策。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依法开展社会募捐活动，参加国际人道主义救援工作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开展救灾的准备工作；在自然灾害和突发事件中，开展救护和救助工作，依法接受国内外组织和个人捐赠，保证和监督救灾物的发放。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开展卫生救护和防病知识的宣传普及工作，进行初级自救互救护培训，组织群众参加意外伤害和自然灾害的现场救护工作。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宣传无偿献血、预防艾滋病，捐献造血干细胞等工作；负责开展人道领域内的社区服务和社会公益事业、兴办街道红十字卫生站等符合红十字会宗旨的社会福利事业。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宣传日内瓦公约及其附加议定书、红十字和红新月运动的基本原则、并依照有关规定开展工作。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开展红十字青少年道德教育。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依据红十字会章程吸收会员、发展组织。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开展少儿大病救助工作。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 xml:space="preserve">   3、本年度的主要工作任务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1、坚持党建统领，推动红十字工作提质增效。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2、办好民生实事，提升“三救三献”能力水平。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3、发挥组织优势，进一步融入基层治理。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4、加强自身建设，进一步提升干部能力水平。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部门整体绩效目标设立情况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宣传、贯彻《中华人民共和国红十字会法》、执行《中国红十字会章程》，组织落实中国红十字会工作的方针、政策。依法开展社会募捐活动，参加国际人道主义救援工作。开展救灾的准备工作；在自然灾害和突发事件中，开展救护和救助工作，依法接受国内外组织和个人捐赠，保证和监督救灾物资的发放。开展卫生救护和防病知识的宣传普及工作，进行初级自救互救培训，组织群众参加意外伤害和自然灾害的现场救护工作。宣传无偿献血、预防艾滋病、捐献造血干细胞工作。负责开展人道领域内的社区服务和社会公益事业、兴办街道红十字卫生站等符合红十字会宗旨的社会福利事业。宣传日内瓦公约及其附加议定书、红十字和红新月运动的基本原则，并依照有关规定开展工作。开展红十字青少年道德教育。依据红十字会章程吸收会员、发展组织。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二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当年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预算执行情况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2024年全年预算数648.571505万元，其中，基本支出预算数397.666505万元，项目支出预算数250.905万元。资金总体支出658.814675万元，其中，基本支出409.375204万元，项目支出249.439471万元。完成全年预算执目标。</w:t>
      </w:r>
    </w:p>
    <w:p>
      <w:pPr>
        <w:spacing w:line="600" w:lineRule="exact"/>
        <w:ind w:left="105" w:leftChars="50" w:firstLine="480" w:firstLineChars="15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、整体绩效目标实现情况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bookmarkStart w:id="0" w:name="OLE_LINK1"/>
      <w:r>
        <w:rPr>
          <w:rFonts w:hint="eastAsia" w:ascii="楷体_GB2312" w:eastAsia="楷体_GB2312"/>
          <w:sz w:val="32"/>
          <w:szCs w:val="32"/>
        </w:rPr>
        <w:t>（一）产出完成情况分析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1.产出数量：项目支出-安装设备情况，扎实推进应急救护设备“进企业、进农村、进社区、进学校、进家庭”，覆盖辖区的街乡、企事业、人员密集场所等多家单位，累计安装应急救护设备54台，完成目标；项目支出-组织三献宣传，进入校园开展宣传活动，完成目标；项目支出-报纸专刊、电视专栏数量完成6次，达到年度绩效目标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2.产出质量：项目支出-完成培训取得证书的受训人数与通过比例超过目标；项目支出-受助者生存比例达成全部在2024年度存活，达到最理想的目标；项目支出-官网媒体更新，经与上级红十字会就“红透指数”透明度公开建设的要求同步开展，全年实际完成媒体更新超过360次，超额完成目标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3.产出时效：项目支出-培训进度按照支出进度逐步开展，在要求时间前完成了全部培训；项目支出-当期慰问捐赠人，全部造干捐赠者都在捐赠当期完成慰问工作；项目支出-活动完成时间，宣传活动除外单位邀请扩大布展范围的活动外，均按时完成。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（二）效果</w:t>
      </w:r>
      <w:r>
        <w:rPr>
          <w:rFonts w:ascii="楷体_GB2312" w:eastAsia="楷体_GB2312"/>
          <w:sz w:val="32"/>
          <w:szCs w:val="32"/>
        </w:rPr>
        <w:t>实现情况分析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1.经济效益：整体绩效无此类指标。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2.社会效益：项目支出-群众产生应急救护概念，在结合实地、线上等多种渠道及方式下，完成全年培训目标；项目支出-通过红十字教育、宣传的开展，提高朝阳地区群众遇到灾难等突发事件时的自救、互救能力；项目支出-通过宣传增加有意愿的志愿者，增加了造干采样入库的人数，完成年度目标；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3.环境效益：整体绩效无此类指标。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4.可持续性影响：整体绩效无此类指标。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5.服务对象满意度：项目支出-培训群众满意度情况，接收培训群众对于红十字培训课程设置受益颇深，真正取得了专业急救知识与技能；项目支出-成功捐献情况，所有匹配成功的支援者均完成了干细胞的捐献；项目支出-活动参与人员满意度情况，参加活动的外单位有需求邀请扩大宣传展示场、点，体现了对工作完成度的认可。</w:t>
      </w:r>
    </w:p>
    <w:bookmarkEnd w:id="0"/>
    <w:p>
      <w:pPr>
        <w:spacing w:line="600" w:lineRule="exact"/>
        <w:ind w:left="105" w:leftChars="50" w:firstLine="480" w:firstLineChars="150"/>
        <w:rPr>
          <w:rFonts w:hint="eastAsia"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四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、预算管理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情况分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析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（一）财务管理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1.财务管理制度健全性：2024年9月对单位财务管理制度进行了梳理更新，力求与现行各项上位规章制度要求统一。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2.资金使用合规性和安全性：及时通过内审小组对财务运转情况进行检查。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3.会计基础信息完善性：根据2023年度接收上级审查、审计要求，我单位为了明确责任人员，在内审小组工作中对存档资料进行了核对。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（二）资产管理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单位资产实物由专人负责管理并定期盘点，2024年开始执行经2022年11月通过修改的《固定资产配置管理办法》。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eastAsia="zh-CN"/>
        </w:rPr>
      </w:pPr>
      <w:r>
        <w:rPr>
          <w:rFonts w:hint="eastAsia" w:ascii="楷体_GB2312" w:eastAsia="楷体_GB2312"/>
          <w:sz w:val="32"/>
          <w:szCs w:val="32"/>
        </w:rPr>
        <w:t>（</w:t>
      </w:r>
      <w:r>
        <w:rPr>
          <w:rFonts w:hint="eastAsia" w:ascii="楷体_GB2312" w:eastAsia="楷体_GB2312"/>
          <w:sz w:val="32"/>
          <w:szCs w:val="32"/>
          <w:lang w:eastAsia="zh-CN"/>
        </w:rPr>
        <w:t>三）绩效管理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eastAsia="zh-CN"/>
        </w:rPr>
      </w:pPr>
      <w:r>
        <w:rPr>
          <w:rFonts w:hint="eastAsia" w:ascii="楷体_GB2312" w:eastAsia="楷体_GB2312"/>
          <w:sz w:val="32"/>
          <w:szCs w:val="32"/>
          <w:lang w:eastAsia="zh-CN"/>
        </w:rPr>
        <w:t>单位绩效完成进度由财务每月编制报表，报班子会通报。每个项目由业务专管人员负责，支出时需经相关审批流程。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eastAsia="zh-CN"/>
        </w:rPr>
      </w:pPr>
      <w:r>
        <w:rPr>
          <w:rFonts w:hint="eastAsia" w:ascii="楷体_GB2312" w:eastAsia="楷体_GB2312"/>
          <w:sz w:val="32"/>
          <w:szCs w:val="32"/>
          <w:lang w:eastAsia="zh-CN"/>
        </w:rPr>
        <w:t>（四）结转结余率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eastAsia="zh-CN"/>
        </w:rPr>
      </w:pPr>
      <w:r>
        <w:rPr>
          <w:rFonts w:hint="eastAsia" w:ascii="楷体_GB2312" w:eastAsia="楷体_GB2312"/>
          <w:sz w:val="32"/>
          <w:szCs w:val="32"/>
          <w:lang w:eastAsia="zh-CN"/>
        </w:rPr>
        <w:t>单位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>2024年无结转、结余资金，结转结余率为0。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  <w:lang w:eastAsia="zh-CN"/>
        </w:rPr>
        <w:t>（五</w:t>
      </w:r>
      <w:r>
        <w:rPr>
          <w:rFonts w:hint="eastAsia" w:ascii="楷体_GB2312" w:eastAsia="楷体_GB2312"/>
          <w:sz w:val="32"/>
          <w:szCs w:val="32"/>
        </w:rPr>
        <w:t>）部门预决算差异率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年度项目预算执行率99.42%，各个项目均完成年度工作目标。</w:t>
      </w:r>
    </w:p>
    <w:p>
      <w:pPr>
        <w:spacing w:line="600" w:lineRule="exact"/>
        <w:ind w:left="105" w:leftChars="50" w:firstLine="480" w:firstLineChars="1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五、总体</w:t>
      </w:r>
      <w:r>
        <w:rPr>
          <w:rFonts w:ascii="黑体" w:hAnsi="黑体" w:eastAsia="黑体"/>
          <w:sz w:val="32"/>
          <w:szCs w:val="32"/>
        </w:rPr>
        <w:t>评价结论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</w:rPr>
      </w:pPr>
      <w:bookmarkStart w:id="1" w:name="OLE_LINK2"/>
      <w:r>
        <w:rPr>
          <w:rFonts w:hint="eastAsia" w:ascii="楷体_GB2312" w:eastAsia="楷体_GB2312"/>
          <w:sz w:val="32"/>
          <w:szCs w:val="32"/>
        </w:rPr>
        <w:t>（一）评价</w:t>
      </w:r>
      <w:r>
        <w:rPr>
          <w:rFonts w:ascii="楷体_GB2312" w:eastAsia="楷体_GB2312"/>
          <w:sz w:val="32"/>
          <w:szCs w:val="32"/>
        </w:rPr>
        <w:t>得分</w:t>
      </w:r>
      <w:r>
        <w:rPr>
          <w:rFonts w:hint="eastAsia" w:ascii="楷体_GB2312" w:eastAsia="楷体_GB2312"/>
          <w:sz w:val="32"/>
          <w:szCs w:val="32"/>
        </w:rPr>
        <w:t>情况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整体绩效完成全年目标，各个项目均不存在较大差距。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（二）存在的问题及原因分析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eastAsia="zh-CN"/>
        </w:rPr>
      </w:pPr>
      <w:r>
        <w:rPr>
          <w:rFonts w:hint="eastAsia" w:ascii="楷体_GB2312" w:eastAsia="楷体_GB2312"/>
          <w:sz w:val="32"/>
          <w:szCs w:val="32"/>
          <w:lang w:eastAsia="zh-CN"/>
        </w:rPr>
        <w:t>单位整体绩效完成度较高，以后年度应继续保持。</w:t>
      </w:r>
    </w:p>
    <w:bookmarkEnd w:id="1"/>
    <w:p>
      <w:pPr>
        <w:spacing w:line="60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六、措施建议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eastAsia="zh-CN"/>
        </w:rPr>
      </w:pPr>
      <w:r>
        <w:rPr>
          <w:rFonts w:hint="eastAsia" w:ascii="楷体_GB2312" w:eastAsia="楷体_GB2312"/>
          <w:sz w:val="32"/>
          <w:szCs w:val="32"/>
          <w:lang w:eastAsia="zh-CN"/>
        </w:rPr>
        <w:t>（一）财务审计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eastAsia="zh-CN"/>
        </w:rPr>
        <w:t>在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>2025年度我单位会根据2024年度内审小组的检查意见进行自主整改。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（二）绩效目标制定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sz w:val="32"/>
          <w:szCs w:val="32"/>
          <w:lang w:val="en-US" w:eastAsia="zh-CN"/>
        </w:rPr>
        <w:t>我单位在编制今后年度绩效目标时要考虑自身情况，尽量减少以具体数量作为考评目标值，尽量保持各个项目绩效目标的完成率。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DejaVu Sans">
    <w:altName w:val="Trebuchet MS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隶书_GBK">
    <w:altName w:val="隶书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魏碑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行楷_GBK">
    <w:altName w:val="楷体_GB2312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细黑一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ongti SC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ESI仿宋-GB2312">
    <w:altName w:val="仿宋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decorative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roma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BatangChe">
    <w:panose1 w:val="02030609000101010101"/>
    <w:charset w:val="81"/>
    <w:family w:val="swiss"/>
    <w:pitch w:val="default"/>
    <w:sig w:usb0="B00002AF" w:usb1="69D77CFB" w:usb2="00000030" w:usb3="00000000" w:csb0="4008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BatangChe">
    <w:panose1 w:val="02030609000101010101"/>
    <w:charset w:val="81"/>
    <w:family w:val="decorative"/>
    <w:pitch w:val="default"/>
    <w:sig w:usb0="B00002AF" w:usb1="69D77CFB" w:usb2="00000030" w:usb3="00000000" w:csb0="4008009F" w:csb1="DFD7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Che">
    <w:panose1 w:val="02030609000101010101"/>
    <w:charset w:val="81"/>
    <w:family w:val="roman"/>
    <w:pitch w:val="default"/>
    <w:sig w:usb0="B00002AF" w:usb1="69D77CFB" w:usb2="00000030" w:usb3="00000000" w:csb0="4008009F" w:csb1="DFD7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BatangChe">
    <w:panose1 w:val="02030609000101010101"/>
    <w:charset w:val="81"/>
    <w:family w:val="modern"/>
    <w:pitch w:val="default"/>
    <w:sig w:usb0="B00002AF" w:usb1="69D77CFB" w:usb2="00000030" w:usb3="00000000" w:csb0="4008009F" w:csb1="DFD7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大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_GB18030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ˎ̥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Century Gothic">
    <w:panose1 w:val="020B0502020202020204"/>
    <w:charset w:val="00"/>
    <w:family w:val="decorative"/>
    <w:pitch w:val="default"/>
    <w:sig w:usb0="00000287" w:usb1="00000000" w:usb2="00000000" w:usb3="00000000" w:csb0="2000009F" w:csb1="DFD70000"/>
  </w:font>
  <w:font w:name="ˎ̥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Century Gothic">
    <w:panose1 w:val="020B0502020202020204"/>
    <w:charset w:val="00"/>
    <w:family w:val="roman"/>
    <w:pitch w:val="default"/>
    <w:sig w:usb0="00000287" w:usb1="00000000" w:usb2="00000000" w:usb3="00000000" w:csb0="2000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entury Gothic">
    <w:panose1 w:val="020B0502020202020204"/>
    <w:charset w:val="00"/>
    <w:family w:val="modern"/>
    <w:pitch w:val="default"/>
    <w:sig w:usb0="00000287" w:usb1="00000000" w:usb2="00000000" w:usb3="00000000" w:csb0="2000009F" w:csb1="DFD70000"/>
  </w:font>
  <w:font w:name="ˎ̥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algun Gothic Semilight">
    <w:altName w:val="宋体"/>
    <w:panose1 w:val="020B0502040204020203"/>
    <w:charset w:val="86"/>
    <w:family w:val="swiss"/>
    <w:pitch w:val="default"/>
    <w:sig w:usb0="00000000" w:usb1="00000000" w:usb2="00000012" w:usb3="00000000" w:csb0="203E01BD" w:csb1="D7FF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Malgun Gothic Semilight">
    <w:altName w:val="宋体"/>
    <w:panose1 w:val="020B0502040204020203"/>
    <w:charset w:val="86"/>
    <w:family w:val="decorative"/>
    <w:pitch w:val="default"/>
    <w:sig w:usb0="00000000" w:usb1="00000000" w:usb2="00000012" w:usb3="00000000" w:csb0="203E01BD" w:csb1="D7FF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Malgun Gothic Semilight">
    <w:altName w:val="宋体"/>
    <w:panose1 w:val="020B0502040204020203"/>
    <w:charset w:val="86"/>
    <w:family w:val="roman"/>
    <w:pitch w:val="default"/>
    <w:sig w:usb0="00000000" w:usb1="00000000" w:usb2="00000012" w:usb3="00000000" w:csb0="203E01BD" w:csb1="D7FF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Malgun Gothic Semilight">
    <w:altName w:val="宋体"/>
    <w:panose1 w:val="020B0502040204020203"/>
    <w:charset w:val="86"/>
    <w:family w:val="modern"/>
    <w:pitch w:val="default"/>
    <w:sig w:usb0="00000000" w:usb1="00000000" w:usb2="00000012" w:usb3="00000000" w:csb0="203E01BD" w:csb1="D7FF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algun Gothic">
    <w:panose1 w:val="020B0503020000020004"/>
    <w:charset w:val="81"/>
    <w:family w:val="decorative"/>
    <w:pitch w:val="default"/>
    <w:sig w:usb0="900002AF" w:usb1="01D77CFB" w:usb2="00000012" w:usb3="00000000" w:csb0="00080001" w:csb1="00000000"/>
  </w:font>
  <w:font w:name="Malgun Gothic">
    <w:panose1 w:val="020B0503020000020004"/>
    <w:charset w:val="81"/>
    <w:family w:val="roman"/>
    <w:pitch w:val="default"/>
    <w:sig w:usb0="900002AF" w:usb1="01D77CFB" w:usb2="00000012" w:usb3="00000000" w:csb0="00080001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Lucida Sans Unicode">
    <w:panose1 w:val="020B0602030504020204"/>
    <w:charset w:val="00"/>
    <w:family w:val="decorative"/>
    <w:pitch w:val="default"/>
    <w:sig w:usb0="80001AFF" w:usb1="0000396B" w:usb2="00000000" w:usb3="00000000" w:csb0="200000BF" w:csb1="D7F70000"/>
  </w:font>
  <w:font w:name="Lucida Sans Unicode">
    <w:panose1 w:val="020B0602030504020204"/>
    <w:charset w:val="00"/>
    <w:family w:val="roman"/>
    <w:pitch w:val="default"/>
    <w:sig w:usb0="80001AFF" w:usb1="0000396B" w:usb2="00000000" w:usb3="00000000" w:csb0="200000BF" w:csb1="D7F70000"/>
  </w:font>
  <w:font w:name="华文中宋">
    <w:panose1 w:val="02010600040101010101"/>
    <w:charset w:val="86"/>
    <w:family w:val="modern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swiss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decorative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roman"/>
    <w:pitch w:val="default"/>
    <w:sig w:usb0="00000287" w:usb1="080F0000" w:usb2="00000000" w:usb3="00000000" w:csb0="0004009F" w:csb1="DFD70000"/>
  </w:font>
  <w:font w:name="Lucida Sans Unicode">
    <w:panose1 w:val="020B0602030504020204"/>
    <w:charset w:val="00"/>
    <w:family w:val="modern"/>
    <w:pitch w:val="default"/>
    <w:sig w:usb0="80001AFF" w:usb1="0000396B" w:usb2="00000000" w:usb3="00000000" w:csb0="200000BF" w:csb1="D7F70000"/>
  </w:font>
  <w:font w:name="FZFS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汉仪中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中圆B5">
    <w:altName w:val="Microsoft JhengHei"/>
    <w:panose1 w:val="02010600000101010101"/>
    <w:charset w:val="88"/>
    <w:family w:val="auto"/>
    <w:pitch w:val="default"/>
    <w:sig w:usb0="00000000" w:usb1="00000000" w:usb2="00000002" w:usb3="00000000" w:csb0="00100000" w:csb1="00000000"/>
  </w:font>
  <w:font w:name="汉仪仿宋S">
    <w:altName w:val="仿宋"/>
    <w:panose1 w:val="00020600040101000101"/>
    <w:charset w:val="86"/>
    <w:family w:val="auto"/>
    <w:pitch w:val="default"/>
    <w:sig w:usb0="00000000" w:usb1="00000000" w:usb2="00000016" w:usb3="00000000" w:csb0="0004009F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Droid S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675925026">
    <w:nsid w:val="63E49622"/>
    <w:multiLevelType w:val="singleLevel"/>
    <w:tmpl w:val="63E49622"/>
    <w:lvl w:ilvl="0" w:tentative="1">
      <w:start w:val="2"/>
      <w:numFmt w:val="chineseCounting"/>
      <w:suff w:val="nothing"/>
      <w:lvlText w:val="（%1）"/>
      <w:lvlJc w:val="left"/>
    </w:lvl>
  </w:abstractNum>
  <w:num w:numId="1">
    <w:abstractNumId w:val="16759250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BF12E6"/>
    <w:rsid w:val="03CC79EA"/>
    <w:rsid w:val="06A0245F"/>
    <w:rsid w:val="0DF058AD"/>
    <w:rsid w:val="19414730"/>
    <w:rsid w:val="1FD03AD6"/>
    <w:rsid w:val="29F4218B"/>
    <w:rsid w:val="324D6ADB"/>
    <w:rsid w:val="3CED6EC9"/>
    <w:rsid w:val="3DBC70A4"/>
    <w:rsid w:val="674B4601"/>
    <w:rsid w:val="69BF12E6"/>
    <w:rsid w:val="71E45085"/>
    <w:rsid w:val="72C646A6"/>
    <w:rsid w:val="77A56EAE"/>
    <w:rsid w:val="7DA5597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ind w:firstLine="0" w:firstLineChars="0"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2023-01-11T09:12:00Z</dcterms:created>
  <dc:creator>Administrator</dc:creator>
  <cp:lastModifiedBy>Administrator</cp:lastModifiedBy>
  <cp:lastPrinted>2023-02-10T02:33:00Z</cp:lastPrinted>
  <dcterms:modified xsi:type="dcterms:W3CDTF">2025-09-04T07:14:56Z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