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rPr>
          <w:rFonts w:eastAsia="仿宋_GB2312"/>
          <w:b w:val="0"/>
          <w:sz w:val="32"/>
          <w:szCs w:val="32"/>
        </w:rPr>
      </w:pPr>
      <w:bookmarkStart w:id="0" w:name="_GoBack"/>
      <w:bookmarkEnd w:id="0"/>
      <w:r>
        <w:rPr>
          <w:rFonts w:eastAsia="仿宋_GB2312"/>
          <w:b w:val="0"/>
          <w:sz w:val="32"/>
          <w:szCs w:val="32"/>
        </w:rPr>
        <w:t>附件1</w:t>
      </w:r>
    </w:p>
    <w:tbl>
      <w:tblPr>
        <w:tblStyle w:val="7"/>
        <w:tblW w:w="8928" w:type="dxa"/>
        <w:jc w:val="center"/>
        <w:tblInd w:w="0" w:type="dxa"/>
        <w:tblLayout w:type="fixed"/>
        <w:tblCellMar>
          <w:top w:w="0" w:type="dxa"/>
          <w:left w:w="108" w:type="dxa"/>
          <w:bottom w:w="0" w:type="dxa"/>
          <w:right w:w="108" w:type="dxa"/>
        </w:tblCellMar>
      </w:tblPr>
      <w:tblGrid>
        <w:gridCol w:w="578"/>
        <w:gridCol w:w="963"/>
        <w:gridCol w:w="1092"/>
        <w:gridCol w:w="718"/>
        <w:gridCol w:w="1114"/>
        <w:gridCol w:w="279"/>
        <w:gridCol w:w="839"/>
        <w:gridCol w:w="837"/>
        <w:gridCol w:w="277"/>
        <w:gridCol w:w="280"/>
        <w:gridCol w:w="416"/>
        <w:gridCol w:w="141"/>
        <w:gridCol w:w="695"/>
        <w:gridCol w:w="699"/>
      </w:tblGrid>
      <w:tr>
        <w:tblPrEx>
          <w:tblLayout w:type="fixed"/>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pPr>
              <w:widowControl/>
              <w:spacing w:line="320" w:lineRule="exact"/>
              <w:jc w:val="center"/>
              <w:rPr>
                <w:rFonts w:ascii="黑体" w:eastAsia="黑体"/>
                <w:b w:val="0"/>
                <w:bCs w:val="0"/>
                <w:kern w:val="0"/>
                <w:sz w:val="32"/>
                <w:szCs w:val="32"/>
              </w:rPr>
            </w:pPr>
            <w:r>
              <w:rPr>
                <w:rFonts w:hint="eastAsia" w:ascii="黑体" w:eastAsia="黑体"/>
                <w:b w:val="0"/>
                <w:bCs w:val="0"/>
                <w:kern w:val="0"/>
                <w:sz w:val="32"/>
                <w:szCs w:val="32"/>
              </w:rPr>
              <w:t>朝阳区项目支出绩效自评表</w:t>
            </w:r>
          </w:p>
        </w:tc>
      </w:tr>
      <w:tr>
        <w:tblPrEx>
          <w:tblLayout w:type="fixed"/>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pPr>
              <w:widowControl/>
              <w:jc w:val="center"/>
              <w:rPr>
                <w:kern w:val="0"/>
                <w:sz w:val="22"/>
              </w:rPr>
            </w:pPr>
            <w:r>
              <w:rPr>
                <w:kern w:val="0"/>
                <w:sz w:val="22"/>
              </w:rPr>
              <w:t>（</w:t>
            </w:r>
            <w:r>
              <w:rPr>
                <w:rFonts w:hint="eastAsia"/>
                <w:kern w:val="0"/>
                <w:sz w:val="22"/>
              </w:rPr>
              <w:t>2021</w:t>
            </w:r>
            <w:r>
              <w:rPr>
                <w:kern w:val="0"/>
                <w:sz w:val="22"/>
              </w:rPr>
              <w:t>年度）</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项目名称</w:t>
            </w:r>
          </w:p>
        </w:tc>
        <w:tc>
          <w:tcPr>
            <w:tcW w:w="7387" w:type="dxa"/>
            <w:gridSpan w:val="1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提前下达2021年医药卫生体制改革专项转移支付资金-医改考核奖励（第一批）</w:t>
            </w:r>
          </w:p>
        </w:tc>
      </w:tr>
      <w:tr>
        <w:tblPrEx>
          <w:tblLayout w:type="fixed"/>
          <w:tblCellMar>
            <w:top w:w="0" w:type="dxa"/>
            <w:left w:w="108" w:type="dxa"/>
            <w:bottom w:w="0" w:type="dxa"/>
            <w:right w:w="108" w:type="dxa"/>
          </w:tblCellMar>
        </w:tblPrEx>
        <w:trPr>
          <w:trHeight w:val="574"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主管部门</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北京市朝阳区卫生健康委员会</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实施单位</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北京市朝阳区卫生国有资产管理中心</w:t>
            </w:r>
          </w:p>
        </w:tc>
      </w:tr>
      <w:tr>
        <w:tblPrEx>
          <w:tblLayout w:type="fixed"/>
          <w:tblCellMar>
            <w:top w:w="0" w:type="dxa"/>
            <w:left w:w="108" w:type="dxa"/>
            <w:bottom w:w="0" w:type="dxa"/>
            <w:right w:w="108" w:type="dxa"/>
          </w:tblCellMar>
        </w:tblPrEx>
        <w:trPr>
          <w:trHeight w:val="291" w:hRule="exact"/>
          <w:jc w:val="center"/>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项目负责人</w:t>
            </w:r>
          </w:p>
        </w:tc>
        <w:tc>
          <w:tcPr>
            <w:tcW w:w="4042"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来骁骁</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联系电话</w:t>
            </w:r>
          </w:p>
        </w:tc>
        <w:tc>
          <w:tcPr>
            <w:tcW w:w="2231" w:type="dxa"/>
            <w:gridSpan w:val="5"/>
            <w:tcBorders>
              <w:top w:val="single" w:color="auto" w:sz="4" w:space="0"/>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65563522</w:t>
            </w:r>
          </w:p>
        </w:tc>
      </w:tr>
      <w:tr>
        <w:tblPrEx>
          <w:tblLayout w:type="fixed"/>
        </w:tblPrEx>
        <w:trPr>
          <w:trHeight w:val="505" w:hRule="exact"/>
          <w:jc w:val="center"/>
        </w:trPr>
        <w:tc>
          <w:tcPr>
            <w:tcW w:w="1541"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项目资金</w:t>
            </w:r>
            <w:r>
              <w:rPr>
                <w:kern w:val="0"/>
                <w:sz w:val="18"/>
                <w:szCs w:val="18"/>
              </w:rPr>
              <w:br w:type="textWrapping"/>
            </w:r>
            <w:r>
              <w:rPr>
                <w:kern w:val="0"/>
                <w:sz w:val="18"/>
                <w:szCs w:val="18"/>
              </w:rPr>
              <w:t>（万元）</w:t>
            </w: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p>
        </w:tc>
        <w:tc>
          <w:tcPr>
            <w:tcW w:w="1114"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年初预算数</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全年预算数</w:t>
            </w:r>
          </w:p>
        </w:tc>
        <w:tc>
          <w:tcPr>
            <w:tcW w:w="1114"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全年执行数</w:t>
            </w:r>
          </w:p>
        </w:tc>
        <w:tc>
          <w:tcPr>
            <w:tcW w:w="696" w:type="dxa"/>
            <w:gridSpan w:val="2"/>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执行率</w:t>
            </w:r>
          </w:p>
        </w:tc>
        <w:tc>
          <w:tcPr>
            <w:tcW w:w="69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得分</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rPr>
                <w:kern w:val="0"/>
                <w:sz w:val="18"/>
                <w:szCs w:val="18"/>
              </w:rPr>
            </w:pPr>
            <w:r>
              <w:rPr>
                <w:kern w:val="0"/>
                <w:sz w:val="18"/>
                <w:szCs w:val="18"/>
              </w:rPr>
              <w:t>年度资金总额</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546.832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546.832</w:t>
            </w: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385.249</w:t>
            </w:r>
          </w:p>
        </w:tc>
        <w:tc>
          <w:tcPr>
            <w:tcW w:w="69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10</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70.45%</w:t>
            </w:r>
          </w:p>
        </w:tc>
        <w:tc>
          <w:tcPr>
            <w:tcW w:w="6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8</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其中：当年财政拨款</w:t>
            </w:r>
          </w:p>
        </w:tc>
        <w:tc>
          <w:tcPr>
            <w:tcW w:w="1114" w:type="dxa"/>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546.832</w:t>
            </w: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546.832</w:t>
            </w: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lang w:val="en-US" w:eastAsia="zh-CN"/>
              </w:rPr>
            </w:pPr>
            <w:r>
              <w:rPr>
                <w:rFonts w:hint="eastAsia"/>
                <w:b w:val="0"/>
                <w:kern w:val="0"/>
                <w:sz w:val="18"/>
                <w:szCs w:val="18"/>
                <w:lang w:val="en-US" w:eastAsia="zh-CN"/>
              </w:rPr>
              <w:t>385.249</w:t>
            </w:r>
          </w:p>
        </w:tc>
        <w:tc>
          <w:tcPr>
            <w:tcW w:w="69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1541"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810"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8" w:type="dxa"/>
            <w:gridSpan w:val="2"/>
            <w:tcBorders>
              <w:top w:val="nil"/>
              <w:left w:val="nil"/>
              <w:bottom w:val="single" w:color="auto" w:sz="4" w:space="0"/>
              <w:right w:val="single" w:color="auto" w:sz="4" w:space="0"/>
            </w:tcBorders>
            <w:vAlign w:val="center"/>
          </w:tcPr>
          <w:p>
            <w:pPr>
              <w:widowControl/>
              <w:spacing w:line="240" w:lineRule="exact"/>
              <w:jc w:val="center"/>
              <w:rPr>
                <w:b w:val="0"/>
                <w:kern w:val="0"/>
                <w:sz w:val="18"/>
                <w:szCs w:val="18"/>
              </w:rPr>
            </w:pPr>
          </w:p>
        </w:tc>
        <w:tc>
          <w:tcPr>
            <w:tcW w:w="111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p>
        </w:tc>
        <w:tc>
          <w:tcPr>
            <w:tcW w:w="696"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c>
          <w:tcPr>
            <w:tcW w:w="836"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p>
        </w:tc>
        <w:tc>
          <w:tcPr>
            <w:tcW w:w="69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rPr>
            </w:pPr>
            <w:r>
              <w:rPr>
                <w:b w:val="0"/>
                <w:kern w:val="0"/>
                <w:sz w:val="18"/>
                <w:szCs w:val="18"/>
              </w:rPr>
              <w:t>—</w:t>
            </w:r>
          </w:p>
        </w:tc>
      </w:tr>
      <w:tr>
        <w:tblPrEx>
          <w:tblLayout w:type="fixed"/>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年度总体目标</w:t>
            </w: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预期目标</w:t>
            </w:r>
          </w:p>
        </w:tc>
        <w:tc>
          <w:tcPr>
            <w:tcW w:w="3345"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实际完成情况</w:t>
            </w:r>
          </w:p>
        </w:tc>
      </w:tr>
      <w:tr>
        <w:tblPrEx>
          <w:tblLayout w:type="fixed"/>
          <w:tblCellMar>
            <w:top w:w="0" w:type="dxa"/>
            <w:left w:w="108" w:type="dxa"/>
            <w:bottom w:w="0" w:type="dxa"/>
            <w:right w:w="108" w:type="dxa"/>
          </w:tblCellMar>
        </w:tblPrEx>
        <w:trPr>
          <w:trHeight w:val="579" w:hRule="exact"/>
          <w:jc w:val="center"/>
        </w:trPr>
        <w:tc>
          <w:tcPr>
            <w:tcW w:w="578"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5005" w:type="dxa"/>
            <w:gridSpan w:val="6"/>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r>
              <w:rPr>
                <w:rFonts w:hint="eastAsia"/>
                <w:b w:val="0"/>
                <w:kern w:val="0"/>
                <w:sz w:val="18"/>
                <w:szCs w:val="18"/>
              </w:rPr>
              <w:t>提高区属医院的医疗服务能力和重大疫情应对能力</w:t>
            </w:r>
            <w:r>
              <w:rPr>
                <w:rFonts w:hint="eastAsia"/>
                <w:b w:val="0"/>
                <w:kern w:val="0"/>
                <w:sz w:val="18"/>
                <w:szCs w:val="18"/>
                <w:lang w:val="en-US" w:eastAsia="zh-CN"/>
              </w:rPr>
              <w:t>,贯彻落实国家和本市的医改任务</w:t>
            </w:r>
          </w:p>
        </w:tc>
        <w:tc>
          <w:tcPr>
            <w:tcW w:w="3345" w:type="dxa"/>
            <w:gridSpan w:val="7"/>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绩</w:t>
            </w:r>
            <w:r>
              <w:rPr>
                <w:kern w:val="0"/>
                <w:sz w:val="18"/>
                <w:szCs w:val="18"/>
              </w:rPr>
              <w:br w:type="textWrapping"/>
            </w:r>
            <w:r>
              <w:rPr>
                <w:kern w:val="0"/>
                <w:sz w:val="18"/>
                <w:szCs w:val="18"/>
              </w:rPr>
              <w:t>效</w:t>
            </w:r>
            <w:r>
              <w:rPr>
                <w:kern w:val="0"/>
                <w:sz w:val="18"/>
                <w:szCs w:val="18"/>
              </w:rPr>
              <w:br w:type="textWrapping"/>
            </w:r>
            <w:r>
              <w:rPr>
                <w:kern w:val="0"/>
                <w:sz w:val="18"/>
                <w:szCs w:val="18"/>
              </w:rPr>
              <w:t>指</w:t>
            </w:r>
            <w:r>
              <w:rPr>
                <w:kern w:val="0"/>
                <w:sz w:val="18"/>
                <w:szCs w:val="18"/>
              </w:rPr>
              <w:br w:type="textWrapping"/>
            </w:r>
            <w:r>
              <w:rPr>
                <w:kern w:val="0"/>
                <w:sz w:val="18"/>
                <w:szCs w:val="18"/>
              </w:rPr>
              <w:t>标</w:t>
            </w:r>
          </w:p>
        </w:tc>
        <w:tc>
          <w:tcPr>
            <w:tcW w:w="963"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一级指标</w:t>
            </w:r>
          </w:p>
        </w:tc>
        <w:tc>
          <w:tcPr>
            <w:tcW w:w="1092"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二级指标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三级指标</w:t>
            </w:r>
          </w:p>
        </w:tc>
        <w:tc>
          <w:tcPr>
            <w:tcW w:w="839" w:type="dxa"/>
            <w:tcBorders>
              <w:top w:val="nil"/>
              <w:left w:val="nil"/>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年度</w:t>
            </w:r>
          </w:p>
          <w:p>
            <w:pPr>
              <w:widowControl/>
              <w:spacing w:line="240" w:lineRule="exact"/>
              <w:jc w:val="center"/>
              <w:rPr>
                <w:kern w:val="0"/>
                <w:sz w:val="18"/>
                <w:szCs w:val="18"/>
              </w:rPr>
            </w:pPr>
            <w:r>
              <w:rPr>
                <w:kern w:val="0"/>
                <w:sz w:val="18"/>
                <w:szCs w:val="18"/>
              </w:rPr>
              <w:t>指标值</w:t>
            </w: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实际</w:t>
            </w:r>
          </w:p>
          <w:p>
            <w:pPr>
              <w:widowControl/>
              <w:spacing w:line="240" w:lineRule="exact"/>
              <w:jc w:val="center"/>
              <w:rPr>
                <w:kern w:val="0"/>
                <w:sz w:val="18"/>
                <w:szCs w:val="18"/>
              </w:rPr>
            </w:pPr>
            <w:r>
              <w:rPr>
                <w:kern w:val="0"/>
                <w:sz w:val="18"/>
                <w:szCs w:val="18"/>
              </w:rPr>
              <w:t>完成值</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分值</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得分</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kern w:val="0"/>
                <w:sz w:val="18"/>
                <w:szCs w:val="18"/>
              </w:rPr>
            </w:pPr>
            <w:r>
              <w:rPr>
                <w:kern w:val="0"/>
                <w:sz w:val="18"/>
                <w:szCs w:val="18"/>
              </w:rPr>
              <w:t>偏差原因分析及改进措施</w:t>
            </w:r>
          </w:p>
        </w:tc>
      </w:tr>
      <w:tr>
        <w:tblPrEx>
          <w:tblLayout w:type="fixed"/>
          <w:tblCellMar>
            <w:top w:w="0" w:type="dxa"/>
            <w:left w:w="108" w:type="dxa"/>
            <w:bottom w:w="0" w:type="dxa"/>
            <w:right w:w="108" w:type="dxa"/>
          </w:tblCellMar>
        </w:tblPrEx>
        <w:trPr>
          <w:trHeight w:val="5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产出指标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数量指标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指标1：提高区属医疗机构疫情防控救治能力</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lang w:val="en-US" w:eastAsia="zh-CN"/>
              </w:rPr>
            </w:pPr>
            <w:r>
              <w:rPr>
                <w:rFonts w:hint="eastAsia"/>
                <w:b w:val="0"/>
                <w:kern w:val="0"/>
                <w:sz w:val="18"/>
                <w:szCs w:val="18"/>
                <w:lang w:val="en-US" w:eastAsia="zh-CN"/>
              </w:rPr>
              <w:t>2家</w:t>
            </w: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both"/>
              <w:rPr>
                <w:rFonts w:hint="eastAsia" w:eastAsia="宋体"/>
                <w:b w:val="0"/>
                <w:kern w:val="0"/>
                <w:sz w:val="18"/>
                <w:szCs w:val="18"/>
                <w:highlight w:val="none"/>
                <w:lang w:val="en-US" w:eastAsia="zh-CN"/>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highlight w:val="none"/>
                <w:lang w:val="en-US" w:eastAsia="zh-CN"/>
              </w:rPr>
            </w:pPr>
            <w:r>
              <w:rPr>
                <w:rFonts w:hint="eastAsia"/>
                <w:b w:val="0"/>
                <w:kern w:val="0"/>
                <w:sz w:val="18"/>
                <w:szCs w:val="18"/>
                <w:highlight w:val="none"/>
                <w:lang w:val="en-US" w:eastAsia="zh-CN"/>
              </w:rPr>
              <w:t>12</w:t>
            </w: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hint="eastAsia" w:eastAsia="宋体"/>
                <w:b w:val="0"/>
                <w:kern w:val="0"/>
                <w:sz w:val="18"/>
                <w:szCs w:val="18"/>
                <w:highlight w:val="none"/>
                <w:lang w:val="en-US" w:eastAsia="zh-CN"/>
              </w:rPr>
            </w:pPr>
            <w:r>
              <w:rPr>
                <w:rFonts w:hint="eastAsia"/>
                <w:b w:val="0"/>
                <w:kern w:val="0"/>
                <w:sz w:val="18"/>
                <w:szCs w:val="18"/>
                <w:highlight w:val="none"/>
                <w:lang w:val="en-US" w:eastAsia="zh-CN"/>
              </w:rPr>
              <w:t>12</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12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质量指标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指标1：落实北京市2020年医改重点任务</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提升医疗服务水平，提高医院的管理水平，提升重大疫情防控救治能力，落实朝阳区公共卫生管理体系三年行动计划</w:t>
            </w:r>
          </w:p>
        </w:tc>
        <w:tc>
          <w:tcPr>
            <w:tcW w:w="837" w:type="dxa"/>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305"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904"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时效指标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指标1：完成医改任务、卫生应急三年行动计划情况评估</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1-6月</w:t>
            </w:r>
          </w:p>
        </w:tc>
        <w:tc>
          <w:tcPr>
            <w:tcW w:w="837" w:type="dxa"/>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15</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598"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指标2：形成资金分配方案并拨付资金</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7-12月</w:t>
            </w:r>
          </w:p>
        </w:tc>
        <w:tc>
          <w:tcPr>
            <w:tcW w:w="837" w:type="dxa"/>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15</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15</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61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成本指标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指标1：资金总额</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546.823万元</w:t>
            </w:r>
          </w:p>
        </w:tc>
        <w:tc>
          <w:tcPr>
            <w:tcW w:w="837" w:type="dxa"/>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效益指标</w:t>
            </w: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经济效益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3719"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社会效益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指标1：社会效益</w:t>
            </w:r>
          </w:p>
        </w:tc>
        <w:tc>
          <w:tcPr>
            <w:tcW w:w="839" w:type="dxa"/>
            <w:tcBorders>
              <w:top w:val="nil"/>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推进医疗卫生体制改革任务和公共卫生应急管理体系三年行动计划任务落实，提升医院医疗机构</w:t>
            </w:r>
          </w:p>
        </w:tc>
        <w:tc>
          <w:tcPr>
            <w:tcW w:w="837" w:type="dxa"/>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557" w:type="dxa"/>
            <w:gridSpan w:val="2"/>
            <w:tcBorders>
              <w:top w:val="nil"/>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生态效益</w:t>
            </w:r>
          </w:p>
          <w:p>
            <w:pPr>
              <w:widowControl/>
              <w:spacing w:line="240" w:lineRule="exact"/>
              <w:jc w:val="center"/>
              <w:rPr>
                <w:kern w:val="0"/>
                <w:sz w:val="18"/>
                <w:szCs w:val="18"/>
              </w:rPr>
            </w:pPr>
            <w:r>
              <w:rPr>
                <w:kern w:val="0"/>
                <w:sz w:val="18"/>
                <w:szCs w:val="18"/>
              </w:rPr>
              <w:t>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可持续影响指标</w:t>
            </w: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指标1：</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kern w:val="0"/>
                <w:sz w:val="18"/>
                <w:szCs w:val="18"/>
              </w:rPr>
            </w:pPr>
          </w:p>
        </w:tc>
        <w:tc>
          <w:tcPr>
            <w:tcW w:w="963" w:type="dxa"/>
            <w:vMerge w:val="restart"/>
            <w:tcBorders>
              <w:top w:val="single" w:color="auto" w:sz="4" w:space="0"/>
              <w:left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满意度</w:t>
            </w:r>
          </w:p>
          <w:p>
            <w:pPr>
              <w:widowControl/>
              <w:spacing w:line="240" w:lineRule="exact"/>
              <w:jc w:val="center"/>
              <w:rPr>
                <w:kern w:val="0"/>
                <w:sz w:val="18"/>
                <w:szCs w:val="18"/>
              </w:rPr>
            </w:pPr>
            <w:r>
              <w:rPr>
                <w:kern w:val="0"/>
                <w:sz w:val="18"/>
                <w:szCs w:val="18"/>
              </w:rPr>
              <w:t>指标</w:t>
            </w:r>
          </w:p>
        </w:tc>
        <w:tc>
          <w:tcPr>
            <w:tcW w:w="109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kern w:val="0"/>
                <w:sz w:val="18"/>
                <w:szCs w:val="18"/>
              </w:rPr>
            </w:pPr>
            <w:r>
              <w:rPr>
                <w:kern w:val="0"/>
                <w:sz w:val="18"/>
                <w:szCs w:val="18"/>
              </w:rPr>
              <w:t>服务对象满意度指标</w:t>
            </w:r>
          </w:p>
        </w:tc>
        <w:tc>
          <w:tcPr>
            <w:tcW w:w="2111" w:type="dxa"/>
            <w:gridSpan w:val="3"/>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指标1：医疗机构患者满意度</w:t>
            </w:r>
          </w:p>
        </w:tc>
        <w:tc>
          <w:tcPr>
            <w:tcW w:w="839" w:type="dxa"/>
            <w:tcBorders>
              <w:top w:val="single" w:color="auto" w:sz="4" w:space="0"/>
              <w:left w:val="nil"/>
              <w:bottom w:val="single" w:color="auto" w:sz="4" w:space="0"/>
              <w:right w:val="single" w:color="auto" w:sz="4" w:space="0"/>
            </w:tcBorders>
            <w:shd w:val="clear" w:color="auto" w:fill="FFFFFF"/>
            <w:textDirection w:val="lrTb"/>
            <w:vAlign w:val="center"/>
          </w:tcPr>
          <w:p>
            <w:pPr>
              <w:widowControl/>
              <w:spacing w:line="240" w:lineRule="exact"/>
              <w:jc w:val="left"/>
              <w:rPr>
                <w:rFonts w:hint="eastAsia"/>
                <w:b w:val="0"/>
                <w:kern w:val="0"/>
                <w:sz w:val="18"/>
                <w:szCs w:val="18"/>
              </w:rPr>
            </w:pPr>
            <w:r>
              <w:rPr>
                <w:rFonts w:hint="eastAsia"/>
                <w:b w:val="0"/>
                <w:kern w:val="0"/>
                <w:sz w:val="18"/>
                <w:szCs w:val="18"/>
                <w:lang w:val="en-US" w:eastAsia="zh-CN"/>
              </w:rPr>
              <w:t>≥80%</w:t>
            </w:r>
          </w:p>
        </w:tc>
        <w:tc>
          <w:tcPr>
            <w:tcW w:w="837" w:type="dxa"/>
            <w:tcBorders>
              <w:top w:val="single" w:color="auto" w:sz="4" w:space="0"/>
              <w:left w:val="nil"/>
              <w:bottom w:val="single" w:color="auto" w:sz="4" w:space="0"/>
              <w:right w:val="single" w:color="auto" w:sz="4" w:space="0"/>
            </w:tcBorders>
            <w:shd w:val="clear" w:color="auto" w:fill="auto"/>
            <w:textDirection w:val="lrTb"/>
            <w:vAlign w:val="center"/>
          </w:tcPr>
          <w:p>
            <w:pPr>
              <w:widowControl/>
              <w:spacing w:line="240" w:lineRule="exact"/>
              <w:jc w:val="both"/>
              <w:rPr>
                <w:b w:val="0"/>
                <w:kern w:val="0"/>
                <w:sz w:val="18"/>
                <w:szCs w:val="18"/>
                <w:highlight w:val="none"/>
              </w:rPr>
            </w:pPr>
            <w:r>
              <w:rPr>
                <w:rFonts w:hint="eastAsia"/>
                <w:b w:val="0"/>
                <w:kern w:val="0"/>
                <w:sz w:val="18"/>
                <w:szCs w:val="18"/>
                <w:highlight w:val="none"/>
                <w:lang w:val="en-US" w:eastAsia="zh-CN"/>
              </w:rPr>
              <w:t>100%</w:t>
            </w:r>
          </w:p>
        </w:tc>
        <w:tc>
          <w:tcPr>
            <w:tcW w:w="557" w:type="dxa"/>
            <w:gridSpan w:val="2"/>
            <w:tcBorders>
              <w:top w:val="single" w:color="auto" w:sz="4" w:space="0"/>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557" w:type="dxa"/>
            <w:gridSpan w:val="2"/>
            <w:tcBorders>
              <w:top w:val="single" w:color="auto" w:sz="4" w:space="0"/>
              <w:left w:val="nil"/>
              <w:bottom w:val="single" w:color="auto" w:sz="4" w:space="0"/>
              <w:right w:val="single" w:color="auto" w:sz="4" w:space="0"/>
            </w:tcBorders>
            <w:shd w:val="clear" w:color="auto" w:fill="auto"/>
            <w:textDirection w:val="lrTb"/>
            <w:vAlign w:val="center"/>
          </w:tcPr>
          <w:p>
            <w:pPr>
              <w:widowControl/>
              <w:spacing w:line="240" w:lineRule="exact"/>
              <w:jc w:val="center"/>
              <w:rPr>
                <w:b w:val="0"/>
                <w:kern w:val="0"/>
                <w:sz w:val="18"/>
                <w:szCs w:val="18"/>
                <w:highlight w:val="none"/>
              </w:rPr>
            </w:pPr>
            <w:r>
              <w:rPr>
                <w:rFonts w:hint="eastAsia"/>
                <w:b w:val="0"/>
                <w:kern w:val="0"/>
                <w:sz w:val="18"/>
                <w:szCs w:val="18"/>
                <w:highlight w:val="none"/>
                <w:lang w:val="en-US" w:eastAsia="zh-CN"/>
              </w:rPr>
              <w:t>12</w:t>
            </w: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指标2：</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963"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1092"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b w:val="0"/>
                <w:kern w:val="0"/>
                <w:sz w:val="18"/>
                <w:szCs w:val="18"/>
              </w:rPr>
            </w:pPr>
          </w:p>
        </w:tc>
        <w:tc>
          <w:tcPr>
            <w:tcW w:w="2111" w:type="dxa"/>
            <w:gridSpan w:val="3"/>
            <w:tcBorders>
              <w:top w:val="single" w:color="auto" w:sz="4" w:space="0"/>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r>
              <w:rPr>
                <w:rFonts w:hint="eastAsia"/>
                <w:b w:val="0"/>
                <w:kern w:val="0"/>
                <w:sz w:val="18"/>
                <w:szCs w:val="18"/>
              </w:rPr>
              <w:t>……</w:t>
            </w:r>
          </w:p>
        </w:tc>
        <w:tc>
          <w:tcPr>
            <w:tcW w:w="839" w:type="dxa"/>
            <w:tcBorders>
              <w:top w:val="nil"/>
              <w:left w:val="nil"/>
              <w:bottom w:val="single" w:color="auto" w:sz="4" w:space="0"/>
              <w:right w:val="single" w:color="auto" w:sz="4" w:space="0"/>
            </w:tcBorders>
            <w:vAlign w:val="center"/>
          </w:tcPr>
          <w:p>
            <w:pPr>
              <w:widowControl/>
              <w:spacing w:line="240" w:lineRule="exact"/>
              <w:jc w:val="left"/>
              <w:rPr>
                <w:rFonts w:hint="eastAsia"/>
                <w:b w:val="0"/>
                <w:kern w:val="0"/>
                <w:sz w:val="18"/>
                <w:szCs w:val="18"/>
              </w:rPr>
            </w:pPr>
          </w:p>
        </w:tc>
        <w:tc>
          <w:tcPr>
            <w:tcW w:w="83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557"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c>
          <w:tcPr>
            <w:tcW w:w="1394"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b w:val="0"/>
                <w:kern w:val="0"/>
                <w:sz w:val="18"/>
                <w:szCs w:val="18"/>
                <w:highlight w:val="none"/>
              </w:rPr>
            </w:pPr>
          </w:p>
        </w:tc>
      </w:tr>
      <w:tr>
        <w:tblPrEx>
          <w:tblLayout w:type="fixed"/>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总分</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color w:val="000000"/>
                <w:kern w:val="0"/>
                <w:sz w:val="18"/>
                <w:szCs w:val="18"/>
              </w:rPr>
            </w:pPr>
            <w:r>
              <w:rPr>
                <w:color w:val="000000"/>
                <w:kern w:val="0"/>
                <w:sz w:val="18"/>
                <w:szCs w:val="18"/>
              </w:rPr>
              <w:t>100</w:t>
            </w:r>
          </w:p>
        </w:tc>
        <w:tc>
          <w:tcPr>
            <w:tcW w:w="557" w:type="dxa"/>
            <w:gridSpan w:val="2"/>
            <w:tcBorders>
              <w:top w:val="nil"/>
              <w:left w:val="nil"/>
              <w:bottom w:val="single" w:color="auto" w:sz="4" w:space="0"/>
              <w:right w:val="single" w:color="auto" w:sz="4" w:space="0"/>
            </w:tcBorders>
            <w:vAlign w:val="center"/>
          </w:tcPr>
          <w:p>
            <w:pPr>
              <w:widowControl/>
              <w:spacing w:line="240" w:lineRule="exact"/>
              <w:jc w:val="center"/>
              <w:rPr>
                <w:rFonts w:hint="eastAsia" w:eastAsia="宋体"/>
                <w:b w:val="0"/>
                <w:color w:val="000000"/>
                <w:kern w:val="0"/>
                <w:sz w:val="18"/>
                <w:szCs w:val="18"/>
                <w:lang w:val="en-US" w:eastAsia="zh-CN"/>
              </w:rPr>
            </w:pPr>
            <w:r>
              <w:rPr>
                <w:rFonts w:hint="eastAsia"/>
                <w:b w:val="0"/>
                <w:color w:val="000000"/>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pPr>
              <w:widowControl/>
              <w:spacing w:line="240" w:lineRule="exact"/>
              <w:jc w:val="center"/>
              <w:rPr>
                <w:b w:val="0"/>
                <w:kern w:val="0"/>
                <w:sz w:val="18"/>
                <w:szCs w:val="18"/>
              </w:rPr>
            </w:pPr>
          </w:p>
        </w:tc>
      </w:tr>
    </w:tbl>
    <w:p>
      <w:pPr>
        <w:widowControl/>
        <w:spacing w:line="360" w:lineRule="auto"/>
        <w:ind w:firstLine="241" w:firstLineChars="100"/>
        <w:jc w:val="left"/>
        <w:rPr>
          <w:rFonts w:hint="default" w:ascii="宋体" w:hAnsi="宋体" w:eastAsia="宋体"/>
          <w:sz w:val="24"/>
          <w:szCs w:val="32"/>
          <w:lang w:val="en-US" w:eastAsia="zh-CN"/>
        </w:rPr>
      </w:pPr>
      <w:r>
        <w:rPr>
          <w:rFonts w:ascii="宋体" w:hAnsi="宋体"/>
          <w:sz w:val="24"/>
          <w:szCs w:val="32"/>
        </w:rPr>
        <w:t>填表人：</w:t>
      </w:r>
      <w:r>
        <w:rPr>
          <w:rFonts w:hint="eastAsia" w:ascii="宋体" w:hAnsi="宋体"/>
          <w:sz w:val="24"/>
          <w:szCs w:val="32"/>
          <w:lang w:eastAsia="zh-CN"/>
        </w:rPr>
        <w:t>旷野</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联系电话：</w:t>
      </w:r>
      <w:r>
        <w:rPr>
          <w:rFonts w:hint="eastAsia" w:ascii="宋体" w:hAnsi="宋体"/>
          <w:sz w:val="24"/>
          <w:szCs w:val="32"/>
          <w:lang w:val="en-US" w:eastAsia="zh-CN"/>
        </w:rPr>
        <w:t>65588957</w:t>
      </w:r>
      <w:r>
        <w:rPr>
          <w:rFonts w:ascii="宋体" w:hAnsi="宋体"/>
          <w:sz w:val="24"/>
          <w:szCs w:val="32"/>
        </w:rPr>
        <w:t xml:space="preserve">        </w:t>
      </w:r>
      <w:r>
        <w:rPr>
          <w:rFonts w:hint="eastAsia" w:ascii="宋体" w:hAnsi="宋体"/>
          <w:sz w:val="24"/>
          <w:szCs w:val="32"/>
        </w:rPr>
        <w:t xml:space="preserve"> </w:t>
      </w:r>
      <w:r>
        <w:rPr>
          <w:rFonts w:ascii="宋体" w:hAnsi="宋体"/>
          <w:sz w:val="24"/>
          <w:szCs w:val="32"/>
        </w:rPr>
        <w:t>填写日期：</w:t>
      </w:r>
      <w:r>
        <w:rPr>
          <w:rFonts w:hint="eastAsia" w:ascii="宋体" w:hAnsi="宋体"/>
          <w:sz w:val="24"/>
          <w:szCs w:val="32"/>
          <w:lang w:val="en-US" w:eastAsia="zh-CN"/>
        </w:rPr>
        <w:t>2022.1.16</w:t>
      </w:r>
    </w:p>
    <w:p>
      <w:pPr>
        <w:widowControl/>
        <w:spacing w:line="360" w:lineRule="auto"/>
        <w:ind w:firstLine="241" w:firstLineChars="100"/>
        <w:jc w:val="left"/>
        <w:rPr>
          <w:rFonts w:hint="eastAsia" w:ascii="宋体" w:hAnsi="宋体"/>
          <w:sz w:val="24"/>
          <w:szCs w:val="32"/>
        </w:rPr>
      </w:pPr>
    </w:p>
    <w:p>
      <w:pPr>
        <w:widowControl/>
        <w:spacing w:line="360" w:lineRule="auto"/>
        <w:ind w:firstLine="241" w:firstLineChars="100"/>
        <w:jc w:val="left"/>
        <w:rPr>
          <w:rFonts w:hint="eastAsia" w:ascii="宋体" w:hAnsi="宋体"/>
          <w:sz w:val="24"/>
          <w:szCs w:val="32"/>
        </w:rPr>
      </w:pPr>
    </w:p>
    <w:p>
      <w:pPr>
        <w:widowControl/>
        <w:spacing w:line="360" w:lineRule="auto"/>
        <w:ind w:firstLine="241" w:firstLineChars="100"/>
        <w:jc w:val="left"/>
        <w:rPr>
          <w:rFonts w:ascii="宋体" w:hAnsi="宋体"/>
          <w:sz w:val="24"/>
          <w:szCs w:val="32"/>
        </w:rPr>
      </w:pPr>
      <w:r>
        <w:rPr>
          <w:rFonts w:hint="eastAsia" w:ascii="宋体" w:hAnsi="宋体"/>
          <w:sz w:val="24"/>
          <w:szCs w:val="32"/>
        </w:rPr>
        <w:t>填表注意事项：</w:t>
      </w:r>
    </w:p>
    <w:p>
      <w:pPr>
        <w:widowControl/>
        <w:numPr>
          <w:ilvl w:val="0"/>
          <w:numId w:val="1"/>
        </w:numPr>
        <w:spacing w:line="360" w:lineRule="auto"/>
        <w:ind w:firstLine="240" w:firstLineChars="100"/>
        <w:jc w:val="left"/>
        <w:rPr>
          <w:rFonts w:ascii="宋体" w:hAnsi="宋体"/>
          <w:b w:val="0"/>
          <w:bCs w:val="0"/>
          <w:sz w:val="24"/>
          <w:szCs w:val="32"/>
        </w:rPr>
      </w:pPr>
      <w:r>
        <w:rPr>
          <w:rFonts w:hint="eastAsia" w:ascii="宋体" w:hAnsi="宋体"/>
          <w:b w:val="0"/>
          <w:bCs w:val="0"/>
          <w:sz w:val="24"/>
          <w:szCs w:val="32"/>
        </w:rPr>
        <w:t>该表总分共计100分，其中预算执行率为10分，绩效指标部分为90分；</w:t>
      </w:r>
    </w:p>
    <w:p>
      <w:pPr>
        <w:widowControl/>
        <w:numPr>
          <w:ilvl w:val="0"/>
          <w:numId w:val="1"/>
        </w:numPr>
        <w:spacing w:line="360" w:lineRule="auto"/>
        <w:ind w:firstLine="240" w:firstLineChars="100"/>
        <w:jc w:val="left"/>
        <w:rPr>
          <w:rFonts w:ascii="宋体" w:hAnsi="宋体"/>
          <w:b w:val="0"/>
          <w:bCs w:val="0"/>
          <w:sz w:val="24"/>
          <w:szCs w:val="32"/>
        </w:rPr>
      </w:pPr>
      <w:r>
        <w:rPr>
          <w:rFonts w:hint="eastAsia" w:ascii="宋体" w:hAnsi="宋体"/>
          <w:b w:val="0"/>
          <w:bCs w:val="0"/>
          <w:sz w:val="24"/>
          <w:szCs w:val="32"/>
        </w:rPr>
        <w:t>预期指标情况要严格按照年初或项目追加时的绩效目标填报，不得随意调整；</w:t>
      </w:r>
    </w:p>
    <w:p>
      <w:pPr>
        <w:widowControl/>
        <w:numPr>
          <w:ilvl w:val="0"/>
          <w:numId w:val="1"/>
        </w:numPr>
        <w:spacing w:line="360" w:lineRule="auto"/>
        <w:ind w:firstLine="240" w:firstLineChars="100"/>
        <w:jc w:val="left"/>
        <w:rPr>
          <w:rFonts w:ascii="宋体" w:hAnsi="宋体"/>
          <w:b w:val="0"/>
          <w:bCs w:val="0"/>
          <w:sz w:val="24"/>
          <w:szCs w:val="32"/>
        </w:rPr>
      </w:pPr>
      <w:r>
        <w:rPr>
          <w:rFonts w:hint="eastAsia" w:ascii="宋体" w:hAnsi="宋体"/>
          <w:b w:val="0"/>
          <w:bCs w:val="0"/>
          <w:sz w:val="24"/>
          <w:szCs w:val="32"/>
        </w:rPr>
        <w:t>单位自评采用定量和定性评价相结合的比较法,总分由各项指标得分汇总形成。</w:t>
      </w:r>
    </w:p>
    <w:p>
      <w:pPr>
        <w:widowControl/>
        <w:spacing w:line="360" w:lineRule="auto"/>
        <w:ind w:firstLine="480" w:firstLineChars="200"/>
        <w:jc w:val="left"/>
        <w:rPr>
          <w:rFonts w:ascii="宋体" w:hAnsi="宋体"/>
          <w:b w:val="0"/>
          <w:bCs w:val="0"/>
          <w:sz w:val="24"/>
          <w:szCs w:val="32"/>
        </w:rPr>
      </w:pPr>
      <w:r>
        <w:rPr>
          <w:rFonts w:hint="eastAsia" w:ascii="宋体" w:hAnsi="宋体"/>
          <w:b w:val="0"/>
          <w:bCs w:val="0"/>
          <w:sz w:val="24"/>
          <w:szCs w:val="32"/>
        </w:rPr>
        <w:t>定量指标得分按照以下方法评定：与年初指标值相比，完成指标值的，记该指标所赋全部分值；如果是由于年初指标值设定明显偏低造成的，要按照偏离度适度调减分值；未完成指标值的，按照完成值在指标值中所占比例记分。</w:t>
      </w:r>
    </w:p>
    <w:p>
      <w:pPr>
        <w:widowControl/>
        <w:spacing w:line="360" w:lineRule="auto"/>
        <w:ind w:firstLine="482" w:firstLineChars="200"/>
        <w:jc w:val="left"/>
        <w:rPr>
          <w:rFonts w:ascii="宋体" w:hAnsi="宋体"/>
          <w:sz w:val="24"/>
          <w:szCs w:val="32"/>
        </w:rPr>
      </w:pPr>
      <w:r>
        <w:rPr>
          <w:rFonts w:hint="eastAsia" w:ascii="宋体" w:hAnsi="宋体"/>
          <w:b w:val="0"/>
          <w:bCs w:val="0"/>
          <w:sz w:val="24"/>
          <w:szCs w:val="32"/>
        </w:rPr>
        <w:t>定性指标得分按照以下方法评定：根据指标完成情况分为达成年度指标、部分达成年度指标且有一定效果、未达成年度指标且效果较差3档，分别按照该指标对应分值区间100%-80%（含80%）、80-60%（含60%）、60%-0%合理确定分值。各项绩效指标得分汇总成该项目自评的总分。</w:t>
      </w:r>
    </w:p>
    <w:sectPr>
      <w:pgSz w:w="11906" w:h="16838"/>
      <w:pgMar w:top="1417" w:right="1417" w:bottom="1417"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altName w:val="楷体_GB2312"/>
    <w:panose1 w:val="02010609060101010101"/>
    <w:charset w:val="86"/>
    <w:family w:val="swiss"/>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altName w:val="仿宋_GB2312"/>
    <w:panose1 w:val="02010609060101010101"/>
    <w:charset w:val="86"/>
    <w:family w:val="auto"/>
    <w:pitch w:val="default"/>
    <w:sig w:usb0="00000000" w:usb1="00000000" w:usb2="00000016" w:usb3="00000000" w:csb0="00040001" w:csb1="00000000"/>
  </w:font>
  <w:font w:name="仿宋">
    <w:altName w:val="仿宋_GB2312"/>
    <w:panose1 w:val="02010609060101010101"/>
    <w:charset w:val="86"/>
    <w:family w:val="swiss"/>
    <w:pitch w:val="default"/>
    <w:sig w:usb0="00000000" w:usb1="00000000"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altName w:val="楷体_GB2312"/>
    <w:panose1 w:val="02010609060101010101"/>
    <w:charset w:val="86"/>
    <w:family w:val="decorative"/>
    <w:pitch w:val="default"/>
    <w:sig w:usb0="00000000" w:usb1="00000000" w:usb2="00000016" w:usb3="00000000" w:csb0="00040001" w:csb1="00000000"/>
  </w:font>
  <w:font w:name="仿宋">
    <w:altName w:val="仿宋_GB2312"/>
    <w:panose1 w:val="02010609060101010101"/>
    <w:charset w:val="86"/>
    <w:family w:val="decorative"/>
    <w:pitch w:val="default"/>
    <w:sig w:usb0="00000000" w:usb1="00000000"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altName w:val="楷体_GB2312"/>
    <w:panose1 w:val="02010609060101010101"/>
    <w:charset w:val="86"/>
    <w:family w:val="roman"/>
    <w:pitch w:val="default"/>
    <w:sig w:usb0="00000000" w:usb1="00000000" w:usb2="00000016" w:usb3="00000000" w:csb0="00040001" w:csb1="00000000"/>
  </w:font>
  <w:font w:name="仿宋">
    <w:altName w:val="仿宋_GB2312"/>
    <w:panose1 w:val="02010609060101010101"/>
    <w:charset w:val="86"/>
    <w:family w:val="roma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仿宋">
    <w:altName w:val="仿宋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1282282">
    <w:nsid w:val="61D3FAEA"/>
    <w:multiLevelType w:val="singleLevel"/>
    <w:tmpl w:val="61D3FAEA"/>
    <w:lvl w:ilvl="0" w:tentative="1">
      <w:start w:val="1"/>
      <w:numFmt w:val="decimal"/>
      <w:suff w:val="nothing"/>
      <w:lvlText w:val="%1、"/>
      <w:lvlJc w:val="left"/>
    </w:lvl>
  </w:abstractNum>
  <w:num w:numId="1">
    <w:abstractNumId w:val="16412822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776"/>
    <w:rsid w:val="00001B5D"/>
    <w:rsid w:val="00015052"/>
    <w:rsid w:val="00031CEE"/>
    <w:rsid w:val="00057190"/>
    <w:rsid w:val="00080BB1"/>
    <w:rsid w:val="0008562A"/>
    <w:rsid w:val="00086F72"/>
    <w:rsid w:val="00094D39"/>
    <w:rsid w:val="000A7CE4"/>
    <w:rsid w:val="000C0FFF"/>
    <w:rsid w:val="000D7D2F"/>
    <w:rsid w:val="000F016F"/>
    <w:rsid w:val="00115A6A"/>
    <w:rsid w:val="0015501C"/>
    <w:rsid w:val="00185A58"/>
    <w:rsid w:val="001A49C4"/>
    <w:rsid w:val="001B4CE8"/>
    <w:rsid w:val="001B74E3"/>
    <w:rsid w:val="001E5FD4"/>
    <w:rsid w:val="001F46BB"/>
    <w:rsid w:val="002128C5"/>
    <w:rsid w:val="00233941"/>
    <w:rsid w:val="00275EE6"/>
    <w:rsid w:val="00284DBB"/>
    <w:rsid w:val="0028641A"/>
    <w:rsid w:val="002C3EE8"/>
    <w:rsid w:val="002C6350"/>
    <w:rsid w:val="003331AC"/>
    <w:rsid w:val="003331D0"/>
    <w:rsid w:val="00367AE6"/>
    <w:rsid w:val="00393E47"/>
    <w:rsid w:val="003A56F5"/>
    <w:rsid w:val="003B3305"/>
    <w:rsid w:val="003B7516"/>
    <w:rsid w:val="003D0D38"/>
    <w:rsid w:val="003F2606"/>
    <w:rsid w:val="00427CFF"/>
    <w:rsid w:val="004343B0"/>
    <w:rsid w:val="00462ED5"/>
    <w:rsid w:val="00492123"/>
    <w:rsid w:val="00492568"/>
    <w:rsid w:val="004C6CC2"/>
    <w:rsid w:val="004E131E"/>
    <w:rsid w:val="004E26A7"/>
    <w:rsid w:val="004E7C1C"/>
    <w:rsid w:val="00522946"/>
    <w:rsid w:val="00525DE4"/>
    <w:rsid w:val="005400B0"/>
    <w:rsid w:val="00541040"/>
    <w:rsid w:val="005525D9"/>
    <w:rsid w:val="00557B43"/>
    <w:rsid w:val="00563D78"/>
    <w:rsid w:val="00567FD5"/>
    <w:rsid w:val="00595CAE"/>
    <w:rsid w:val="005C6773"/>
    <w:rsid w:val="005D0885"/>
    <w:rsid w:val="005D59CE"/>
    <w:rsid w:val="00627AF6"/>
    <w:rsid w:val="00653120"/>
    <w:rsid w:val="006721BB"/>
    <w:rsid w:val="0067443B"/>
    <w:rsid w:val="00676E0B"/>
    <w:rsid w:val="006C6289"/>
    <w:rsid w:val="006C7A52"/>
    <w:rsid w:val="007033FE"/>
    <w:rsid w:val="00751683"/>
    <w:rsid w:val="00763132"/>
    <w:rsid w:val="007668EF"/>
    <w:rsid w:val="00795620"/>
    <w:rsid w:val="007B6FEF"/>
    <w:rsid w:val="007C6045"/>
    <w:rsid w:val="007C6154"/>
    <w:rsid w:val="007C7192"/>
    <w:rsid w:val="007D366F"/>
    <w:rsid w:val="00805C64"/>
    <w:rsid w:val="0081785A"/>
    <w:rsid w:val="008200D5"/>
    <w:rsid w:val="00831628"/>
    <w:rsid w:val="0083385E"/>
    <w:rsid w:val="00846A80"/>
    <w:rsid w:val="008540AD"/>
    <w:rsid w:val="00854AB1"/>
    <w:rsid w:val="00864238"/>
    <w:rsid w:val="00870F46"/>
    <w:rsid w:val="00887B6F"/>
    <w:rsid w:val="0089084A"/>
    <w:rsid w:val="00893D6B"/>
    <w:rsid w:val="008A7B55"/>
    <w:rsid w:val="008C7A17"/>
    <w:rsid w:val="008D17FF"/>
    <w:rsid w:val="008D246E"/>
    <w:rsid w:val="008D4A6A"/>
    <w:rsid w:val="008E3A64"/>
    <w:rsid w:val="00903B4C"/>
    <w:rsid w:val="00920C7B"/>
    <w:rsid w:val="00931776"/>
    <w:rsid w:val="00940DE9"/>
    <w:rsid w:val="00942504"/>
    <w:rsid w:val="0095165C"/>
    <w:rsid w:val="00954082"/>
    <w:rsid w:val="00960611"/>
    <w:rsid w:val="00990E1C"/>
    <w:rsid w:val="00994DE8"/>
    <w:rsid w:val="009A65F2"/>
    <w:rsid w:val="009D370F"/>
    <w:rsid w:val="009E0EF3"/>
    <w:rsid w:val="009F11F4"/>
    <w:rsid w:val="009F447A"/>
    <w:rsid w:val="00A11AEF"/>
    <w:rsid w:val="00A24DE1"/>
    <w:rsid w:val="00A32E19"/>
    <w:rsid w:val="00A35F8F"/>
    <w:rsid w:val="00A563F2"/>
    <w:rsid w:val="00A918C6"/>
    <w:rsid w:val="00AA20CB"/>
    <w:rsid w:val="00AC145C"/>
    <w:rsid w:val="00AC68B6"/>
    <w:rsid w:val="00AD7192"/>
    <w:rsid w:val="00AE6345"/>
    <w:rsid w:val="00B01EFF"/>
    <w:rsid w:val="00B07D45"/>
    <w:rsid w:val="00B421E0"/>
    <w:rsid w:val="00B441C9"/>
    <w:rsid w:val="00B53C47"/>
    <w:rsid w:val="00B75CAB"/>
    <w:rsid w:val="00B8629B"/>
    <w:rsid w:val="00B879E0"/>
    <w:rsid w:val="00BC098B"/>
    <w:rsid w:val="00BC7F9B"/>
    <w:rsid w:val="00BD0E0A"/>
    <w:rsid w:val="00BD7637"/>
    <w:rsid w:val="00BE7A96"/>
    <w:rsid w:val="00C05D44"/>
    <w:rsid w:val="00C236F2"/>
    <w:rsid w:val="00C55D52"/>
    <w:rsid w:val="00C610F1"/>
    <w:rsid w:val="00C62A09"/>
    <w:rsid w:val="00C82F04"/>
    <w:rsid w:val="00C86B6D"/>
    <w:rsid w:val="00C92503"/>
    <w:rsid w:val="00C94E71"/>
    <w:rsid w:val="00CD6026"/>
    <w:rsid w:val="00CF6D7B"/>
    <w:rsid w:val="00D0072D"/>
    <w:rsid w:val="00D242B6"/>
    <w:rsid w:val="00D470BD"/>
    <w:rsid w:val="00D50FB7"/>
    <w:rsid w:val="00D63F94"/>
    <w:rsid w:val="00D8204C"/>
    <w:rsid w:val="00DA2B2E"/>
    <w:rsid w:val="00DB17E4"/>
    <w:rsid w:val="00DE5F9B"/>
    <w:rsid w:val="00E15B86"/>
    <w:rsid w:val="00E63A10"/>
    <w:rsid w:val="00E821B8"/>
    <w:rsid w:val="00EA2619"/>
    <w:rsid w:val="00EC6FB7"/>
    <w:rsid w:val="00EE2A07"/>
    <w:rsid w:val="00EF5211"/>
    <w:rsid w:val="00F74CFE"/>
    <w:rsid w:val="00F849D5"/>
    <w:rsid w:val="00FA72DB"/>
    <w:rsid w:val="032957F5"/>
    <w:rsid w:val="0D4E44D4"/>
    <w:rsid w:val="0E496B23"/>
    <w:rsid w:val="0FD71D45"/>
    <w:rsid w:val="10E72CEF"/>
    <w:rsid w:val="13AB4196"/>
    <w:rsid w:val="193F288E"/>
    <w:rsid w:val="1ADE6A88"/>
    <w:rsid w:val="1C8A6E4C"/>
    <w:rsid w:val="21866767"/>
    <w:rsid w:val="27476F64"/>
    <w:rsid w:val="28A82627"/>
    <w:rsid w:val="2EB44D67"/>
    <w:rsid w:val="32DE5719"/>
    <w:rsid w:val="354922D1"/>
    <w:rsid w:val="357B59EF"/>
    <w:rsid w:val="382B6775"/>
    <w:rsid w:val="38316F73"/>
    <w:rsid w:val="39411349"/>
    <w:rsid w:val="3CE509A9"/>
    <w:rsid w:val="3F1F6AC5"/>
    <w:rsid w:val="45EA6449"/>
    <w:rsid w:val="460359DE"/>
    <w:rsid w:val="4A490D40"/>
    <w:rsid w:val="4B4E1C15"/>
    <w:rsid w:val="4CBA109B"/>
    <w:rsid w:val="4CCA38F5"/>
    <w:rsid w:val="4D0F0E47"/>
    <w:rsid w:val="4D4811B3"/>
    <w:rsid w:val="536369BE"/>
    <w:rsid w:val="553D1D4D"/>
    <w:rsid w:val="557B6719"/>
    <w:rsid w:val="5D617737"/>
    <w:rsid w:val="603764FC"/>
    <w:rsid w:val="60B94FAA"/>
    <w:rsid w:val="670E155B"/>
    <w:rsid w:val="672E3E37"/>
    <w:rsid w:val="696B68DD"/>
    <w:rsid w:val="6A261F45"/>
    <w:rsid w:val="6CBE3F35"/>
    <w:rsid w:val="6D125E72"/>
    <w:rsid w:val="6FB32B39"/>
    <w:rsid w:val="74277F58"/>
    <w:rsid w:val="76EF5736"/>
    <w:rsid w:val="770A0FBC"/>
    <w:rsid w:val="7BFA6C58"/>
    <w:rsid w:val="7D16648A"/>
    <w:rsid w:val="7DBA2D67"/>
    <w:rsid w:val="7DD153BC"/>
    <w:rsid w:val="7F470DF0"/>
    <w:rsid w:val="7F5A4A6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
      <w:bCs/>
      <w:kern w:val="2"/>
      <w:sz w:val="21"/>
      <w:szCs w:val="21"/>
      <w:lang w:val="en-US" w:eastAsia="zh-CN" w:bidi="ar-SA"/>
    </w:rPr>
  </w:style>
  <w:style w:type="paragraph" w:styleId="2">
    <w:name w:val="heading 2"/>
    <w:basedOn w:val="1"/>
    <w:next w:val="1"/>
    <w:unhideWhenUsed/>
    <w:qFormat/>
    <w:uiPriority w:val="9"/>
    <w:pPr>
      <w:keepNext/>
      <w:keepLines/>
      <w:jc w:val="center"/>
      <w:outlineLvl w:val="1"/>
    </w:pPr>
    <w:rPr>
      <w:rFonts w:ascii="Cambria" w:hAnsi="Cambria" w:cs="Cambria"/>
      <w:sz w:val="36"/>
      <w:szCs w:val="36"/>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rFonts w:ascii="Times New Roman" w:hAnsi="Times New Roman" w:eastAsia="宋体" w:cs="Times New Roman"/>
      <w:b/>
      <w:bCs/>
      <w:sz w:val="18"/>
      <w:szCs w:val="18"/>
    </w:rPr>
  </w:style>
  <w:style w:type="character" w:customStyle="1" w:styleId="10">
    <w:name w:val="页脚 Char"/>
    <w:basedOn w:val="6"/>
    <w:link w:val="4"/>
    <w:qFormat/>
    <w:uiPriority w:val="99"/>
    <w:rPr>
      <w:rFonts w:ascii="Times New Roman" w:hAnsi="Times New Roman" w:eastAsia="宋体" w:cs="Times New Roman"/>
      <w:b/>
      <w:bCs/>
      <w:sz w:val="18"/>
      <w:szCs w:val="18"/>
    </w:rPr>
  </w:style>
  <w:style w:type="character" w:customStyle="1" w:styleId="11">
    <w:name w:val="批注框文本 Char"/>
    <w:basedOn w:val="6"/>
    <w:link w:val="3"/>
    <w:semiHidden/>
    <w:qFormat/>
    <w:uiPriority w:val="99"/>
    <w:rPr>
      <w:b/>
      <w:bCs/>
      <w:kern w:val="2"/>
      <w:sz w:val="18"/>
      <w:szCs w:val="18"/>
    </w:rPr>
  </w:style>
  <w:style w:type="paragraph" w:customStyle="1" w:styleId="12">
    <w:name w:val="列出段落1"/>
    <w:basedOn w:val="1"/>
    <w:qFormat/>
    <w:uiPriority w:val="34"/>
    <w:pPr>
      <w:ind w:firstLine="420" w:firstLineChars="200"/>
    </w:pPr>
    <w:rPr>
      <w:rFonts w:ascii="Calibri" w:hAnsi="Calibri" w:cs="黑体"/>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Pages>
  <Words>324</Words>
  <Characters>1852</Characters>
  <Lines>15</Lines>
  <Paragraphs>4</Paragraphs>
  <ScaleCrop>false</ScaleCrop>
  <LinksUpToDate>false</LinksUpToDate>
  <CharactersWithSpaces>2172</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2016-07-25T08:47:00Z</dcterms:created>
  <dc:creator>User</dc:creator>
  <cp:lastModifiedBy>Administrator</cp:lastModifiedBy>
  <cp:lastPrinted>2022-01-05T07:56:00Z</cp:lastPrinted>
  <dcterms:modified xsi:type="dcterms:W3CDTF">2022-03-09T10:34:50Z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