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eastAsia="方正小标宋简体"/>
          <w:color w:val="auto"/>
          <w:sz w:val="44"/>
          <w:szCs w:val="44"/>
        </w:rPr>
      </w:pPr>
      <w:bookmarkStart w:id="0" w:name="_GoBack"/>
      <w:r>
        <w:rPr>
          <w:rFonts w:hint="eastAsia" w:eastAsia="方正小标宋简体"/>
          <w:color w:val="auto"/>
          <w:sz w:val="44"/>
          <w:szCs w:val="44"/>
          <w:lang w:eastAsia="zh-CN"/>
        </w:rPr>
        <w:t>团结湖</w:t>
      </w:r>
      <w:r>
        <w:rPr>
          <w:rFonts w:eastAsia="方正小标宋简体"/>
          <w:color w:val="auto"/>
          <w:sz w:val="44"/>
          <w:szCs w:val="44"/>
        </w:rPr>
        <w:t>街道办事处</w:t>
      </w:r>
    </w:p>
    <w:p>
      <w:pPr>
        <w:spacing w:line="600" w:lineRule="exact"/>
        <w:jc w:val="center"/>
        <w:rPr>
          <w:rFonts w:eastAsia="方正小标宋简体"/>
          <w:color w:val="auto"/>
          <w:sz w:val="44"/>
          <w:szCs w:val="44"/>
        </w:rPr>
      </w:pPr>
      <w:r>
        <w:rPr>
          <w:rFonts w:eastAsia="方正小标宋简体"/>
          <w:color w:val="auto"/>
          <w:sz w:val="44"/>
          <w:szCs w:val="44"/>
        </w:rPr>
        <w:t>重大行政执法决定</w:t>
      </w:r>
      <w:r>
        <w:rPr>
          <w:rFonts w:hint="eastAsia" w:eastAsia="方正小标宋简体"/>
          <w:color w:val="auto"/>
          <w:sz w:val="44"/>
          <w:szCs w:val="44"/>
        </w:rPr>
        <w:t>法制审核</w:t>
      </w:r>
      <w:r>
        <w:rPr>
          <w:rFonts w:eastAsia="方正小标宋简体"/>
          <w:color w:val="auto"/>
          <w:sz w:val="44"/>
          <w:szCs w:val="44"/>
        </w:rPr>
        <w:t>目录</w:t>
      </w:r>
    </w:p>
    <w:p>
      <w:pPr>
        <w:spacing w:line="600" w:lineRule="exact"/>
        <w:ind w:firstLine="602" w:firstLineChars="200"/>
        <w:jc w:val="center"/>
        <w:rPr>
          <w:rFonts w:eastAsia="仿宋_GB2312"/>
          <w:b/>
          <w:color w:val="auto"/>
          <w:sz w:val="30"/>
          <w:szCs w:val="30"/>
        </w:rPr>
      </w:pPr>
    </w:p>
    <w:p>
      <w:pPr>
        <w:spacing w:line="600" w:lineRule="exact"/>
        <w:ind w:firstLine="640" w:firstLineChars="200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根据《北京市重大行政执法决定法制审核办法》《朝阳区重大行政执法决定法制审核规定》，结合本单位实际，制定《</w:t>
      </w:r>
      <w:r>
        <w:rPr>
          <w:rFonts w:hint="eastAsia" w:eastAsia="仿宋_GB2312"/>
          <w:color w:val="auto"/>
          <w:sz w:val="32"/>
          <w:szCs w:val="32"/>
          <w:lang w:eastAsia="zh-CN"/>
        </w:rPr>
        <w:t>团结湖</w:t>
      </w:r>
      <w:r>
        <w:rPr>
          <w:rFonts w:hint="eastAsia" w:eastAsia="仿宋_GB2312"/>
          <w:color w:val="auto"/>
          <w:sz w:val="32"/>
          <w:szCs w:val="32"/>
        </w:rPr>
        <w:t>街道办事处</w:t>
      </w:r>
      <w:r>
        <w:rPr>
          <w:rFonts w:eastAsia="仿宋_GB2312"/>
          <w:color w:val="auto"/>
          <w:sz w:val="32"/>
          <w:szCs w:val="32"/>
        </w:rPr>
        <w:t>重大行政执法决定事项目录》。</w:t>
      </w:r>
    </w:p>
    <w:p>
      <w:pPr>
        <w:spacing w:line="600" w:lineRule="exact"/>
        <w:ind w:firstLine="640" w:firstLineChars="200"/>
        <w:rPr>
          <w:rFonts w:eastAsia="黑体"/>
          <w:b/>
          <w:color w:val="auto"/>
          <w:sz w:val="32"/>
          <w:szCs w:val="32"/>
        </w:rPr>
      </w:pPr>
      <w:r>
        <w:rPr>
          <w:rFonts w:hAnsi="黑体" w:eastAsia="黑体"/>
          <w:color w:val="auto"/>
          <w:sz w:val="32"/>
          <w:szCs w:val="32"/>
        </w:rPr>
        <w:t>一、原城管执法局下放职权中重大行政执法决定事项目录</w:t>
      </w:r>
      <w:r>
        <w:rPr>
          <w:rFonts w:hAnsi="黑体" w:eastAsia="黑体"/>
          <w:b/>
          <w:color w:val="auto"/>
          <w:sz w:val="32"/>
          <w:szCs w:val="32"/>
        </w:rPr>
        <w:t>（</w:t>
      </w:r>
      <w:r>
        <w:rPr>
          <w:rFonts w:hAnsi="黑体" w:eastAsia="黑体"/>
          <w:color w:val="auto"/>
          <w:sz w:val="32"/>
          <w:szCs w:val="32"/>
        </w:rPr>
        <w:t>参照</w:t>
      </w:r>
      <w:r>
        <w:rPr>
          <w:rFonts w:hint="eastAsia" w:hAnsi="黑体" w:eastAsia="黑体"/>
          <w:color w:val="auto"/>
          <w:sz w:val="32"/>
          <w:szCs w:val="32"/>
        </w:rPr>
        <w:t>北京市城管执法部门重大行政执法决定法制审核目录清单</w:t>
      </w:r>
      <w:r>
        <w:rPr>
          <w:rFonts w:hAnsi="黑体" w:eastAsia="黑体"/>
          <w:b/>
          <w:color w:val="auto"/>
          <w:sz w:val="32"/>
          <w:szCs w:val="32"/>
        </w:rPr>
        <w:t>）</w:t>
      </w:r>
    </w:p>
    <w:p>
      <w:pPr>
        <w:spacing w:line="600" w:lineRule="exact"/>
        <w:ind w:firstLine="643" w:firstLineChars="200"/>
        <w:rPr>
          <w:rFonts w:eastAsia="仿宋_GB2312"/>
          <w:b/>
          <w:color w:val="auto"/>
          <w:sz w:val="32"/>
          <w:szCs w:val="32"/>
        </w:rPr>
      </w:pPr>
      <w:r>
        <w:rPr>
          <w:rFonts w:eastAsia="仿宋_GB2312"/>
          <w:b/>
          <w:color w:val="auto"/>
          <w:sz w:val="32"/>
          <w:szCs w:val="32"/>
        </w:rPr>
        <w:t>（一）重大行政处罚决定事项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1.吊销许可证件的行政处罚决定；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2.责令停产停业的行政处罚决定；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3.责令关闭的行政处罚决定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对公民处以超过5000元、对法人或其他组织处以超过5万元的较大数额罚款符合听证条件的行政处罚决定；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5.没收较大数额违法所得的行政处罚决定（参照较大数额罚款的额度执行）；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6.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没收无证违法建设的行政处罚决定；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其他案情复杂需要法制审核的重大行政处罚决定。</w:t>
      </w:r>
    </w:p>
    <w:p>
      <w:pPr>
        <w:spacing w:line="600" w:lineRule="exact"/>
        <w:ind w:firstLine="643" w:firstLineChars="200"/>
        <w:rPr>
          <w:rFonts w:eastAsia="仿宋_GB2312"/>
          <w:b/>
          <w:color w:val="auto"/>
          <w:sz w:val="32"/>
          <w:szCs w:val="32"/>
        </w:rPr>
      </w:pPr>
      <w:r>
        <w:rPr>
          <w:rFonts w:eastAsia="仿宋_GB2312"/>
          <w:b/>
          <w:color w:val="auto"/>
          <w:sz w:val="32"/>
          <w:szCs w:val="32"/>
        </w:rPr>
        <w:t>（二）重大行政强制决定事项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1.对违法建设、大型户外广告等作出的拆除决定（在施违法建设除外）；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2.拍卖或变卖当事人合法财物用以抵缴罚款的行政强制执行决定；</w:t>
      </w:r>
    </w:p>
    <w:p>
      <w:pPr>
        <w:spacing w:line="600" w:lineRule="exact"/>
        <w:rPr>
          <w:rFonts w:eastAsia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3.其他需要法制审核的重大行政强制决定。</w:t>
      </w:r>
    </w:p>
    <w:p>
      <w:pPr>
        <w:spacing w:line="600" w:lineRule="exact"/>
        <w:ind w:firstLine="643" w:firstLineChars="200"/>
        <w:rPr>
          <w:rFonts w:eastAsia="仿宋_GB2312"/>
          <w:b/>
          <w:color w:val="auto"/>
          <w:sz w:val="32"/>
          <w:szCs w:val="32"/>
        </w:rPr>
      </w:pPr>
      <w:r>
        <w:rPr>
          <w:rFonts w:eastAsia="仿宋_GB2312"/>
          <w:b/>
          <w:color w:val="auto"/>
          <w:sz w:val="32"/>
          <w:szCs w:val="32"/>
        </w:rPr>
        <w:t>（三）其他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1.涉及重大公共利益的执法决定；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2.可能造成重大社会影响或引发社会风险的执法决定；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3.直接关系行政相对人或第三人重大权益的执法决定；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4.案件情况疑难复杂、涉及多个法律关系的执法决定；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5.当事人涉嫌犯罪需要移送司法机关的执法决定；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6.其他需要法制审核的执法决定。</w:t>
      </w:r>
    </w:p>
    <w:p>
      <w:pPr>
        <w:spacing w:line="600" w:lineRule="exact"/>
        <w:rPr>
          <w:rFonts w:eastAsia="黑体"/>
          <w:color w:val="auto"/>
          <w:sz w:val="32"/>
          <w:szCs w:val="32"/>
        </w:rPr>
      </w:pPr>
      <w:r>
        <w:rPr>
          <w:rFonts w:eastAsia="黑体"/>
          <w:b/>
          <w:color w:val="auto"/>
          <w:sz w:val="32"/>
          <w:szCs w:val="32"/>
        </w:rPr>
        <w:t xml:space="preserve">    </w:t>
      </w:r>
      <w:r>
        <w:rPr>
          <w:rFonts w:hAnsi="黑体" w:eastAsia="黑体"/>
          <w:color w:val="auto"/>
          <w:sz w:val="32"/>
          <w:szCs w:val="32"/>
        </w:rPr>
        <w:t>二、原生态环境局下放职权中重大行政执法决定事项目录（参照《</w:t>
      </w:r>
      <w:r>
        <w:rPr>
          <w:rFonts w:hint="eastAsia" w:hAnsi="黑体" w:eastAsia="黑体"/>
          <w:color w:val="auto"/>
          <w:sz w:val="32"/>
          <w:szCs w:val="32"/>
        </w:rPr>
        <w:t>北京市朝阳区生态环境局重大行政执法决定法制审核目录清单</w:t>
      </w:r>
      <w:r>
        <w:rPr>
          <w:rFonts w:hAnsi="黑体" w:eastAsia="黑体"/>
          <w:color w:val="auto"/>
          <w:sz w:val="32"/>
          <w:szCs w:val="32"/>
        </w:rPr>
        <w:t>》）</w:t>
      </w:r>
      <w:r>
        <w:rPr>
          <w:rFonts w:eastAsia="黑体"/>
          <w:color w:val="auto"/>
          <w:sz w:val="32"/>
          <w:szCs w:val="32"/>
        </w:rPr>
        <w:t xml:space="preserve">     </w:t>
      </w:r>
    </w:p>
    <w:p>
      <w:pPr>
        <w:spacing w:line="600" w:lineRule="exact"/>
        <w:ind w:firstLine="643" w:firstLineChars="200"/>
        <w:rPr>
          <w:rFonts w:eastAsia="黑体"/>
          <w:color w:val="auto"/>
          <w:sz w:val="32"/>
          <w:szCs w:val="32"/>
        </w:rPr>
      </w:pPr>
      <w:r>
        <w:rPr>
          <w:rFonts w:eastAsia="仿宋_GB2312"/>
          <w:b/>
          <w:color w:val="auto"/>
          <w:sz w:val="32"/>
          <w:szCs w:val="32"/>
        </w:rPr>
        <w:t>（一）重大行政处罚决定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1.对公民处以5000元以上（含）的罚款，对法人或者组织处以50000元以上（含）的罚款或没收的行政处罚的案件；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2.做出停产、停业、关闭决定、暂扣或吊销许可证的行政处罚案件；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3.案情重大或者社会影响较大的查封、扣押、限制生产、停产整治、移送行政拘留等案件（情况特别紧急的除外）；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4.按照《北京市生态环境局行政处罚自由裁量基准（试行）》规定，在其幅度上提高处罚档次（加重）或者降低处罚档次（减轻）的案件；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5.情节复杂或重大疑难案件，存在败诉、复议被撤销等法律风险的案件；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6.召开听证会的案件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。</w:t>
      </w:r>
    </w:p>
    <w:p>
      <w:pPr>
        <w:spacing w:line="600" w:lineRule="exact"/>
        <w:ind w:firstLine="643" w:firstLineChars="200"/>
        <w:rPr>
          <w:rFonts w:eastAsia="仿宋_GB2312"/>
          <w:b/>
          <w:color w:val="auto"/>
          <w:sz w:val="32"/>
          <w:szCs w:val="32"/>
        </w:rPr>
      </w:pPr>
      <w:r>
        <w:rPr>
          <w:rFonts w:eastAsia="仿宋_GB2312"/>
          <w:b/>
          <w:color w:val="auto"/>
          <w:sz w:val="32"/>
          <w:szCs w:val="32"/>
        </w:rPr>
        <w:t>（二）重大行政强制决定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案情重大的（拟作出的处罚符合重大行政处罚集体讨论范围的）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2.查封、扣押污染物排放设施、设备超过2台的；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3.申请强制执行的。</w:t>
      </w:r>
    </w:p>
    <w:p>
      <w:pPr>
        <w:spacing w:line="600" w:lineRule="exact"/>
        <w:ind w:firstLine="643" w:firstLineChars="200"/>
        <w:rPr>
          <w:rFonts w:hint="eastAsia" w:eastAsia="仿宋_GB2312"/>
          <w:b/>
          <w:color w:val="auto"/>
          <w:sz w:val="32"/>
          <w:szCs w:val="32"/>
          <w:lang w:val="en-US" w:eastAsia="zh-CN"/>
        </w:rPr>
      </w:pPr>
      <w:r>
        <w:rPr>
          <w:rFonts w:hint="eastAsia" w:eastAsia="仿宋_GB2312"/>
          <w:b/>
          <w:color w:val="auto"/>
          <w:sz w:val="32"/>
          <w:szCs w:val="32"/>
          <w:lang w:val="en-US" w:eastAsia="zh-CN"/>
        </w:rPr>
        <w:t>（三）其他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1.涉及重大国家利益和公共管理利益的； 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2.案件情况复杂或者社会影响较大的；</w:t>
      </w:r>
    </w:p>
    <w:p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3.法律、法规、规章规定的其他情形。</w:t>
      </w:r>
    </w:p>
    <w:p>
      <w:pPr>
        <w:spacing w:line="600" w:lineRule="exact"/>
        <w:rPr>
          <w:rFonts w:eastAsia="黑体"/>
          <w:color w:val="auto"/>
          <w:sz w:val="32"/>
          <w:szCs w:val="32"/>
        </w:rPr>
      </w:pPr>
      <w:r>
        <w:rPr>
          <w:rFonts w:eastAsia="黑体"/>
          <w:b/>
          <w:color w:val="auto"/>
          <w:sz w:val="32"/>
          <w:szCs w:val="32"/>
        </w:rPr>
        <w:t xml:space="preserve">    </w:t>
      </w:r>
      <w:r>
        <w:rPr>
          <w:rFonts w:hAnsi="黑体" w:eastAsia="黑体"/>
          <w:color w:val="auto"/>
          <w:sz w:val="32"/>
          <w:szCs w:val="32"/>
        </w:rPr>
        <w:t>三、原水务局下放职权中重大行政执法决定事项目录</w:t>
      </w:r>
    </w:p>
    <w:p>
      <w:pPr>
        <w:spacing w:line="600" w:lineRule="exact"/>
        <w:rPr>
          <w:rFonts w:eastAsia="黑体"/>
          <w:color w:val="auto"/>
          <w:sz w:val="32"/>
          <w:szCs w:val="32"/>
        </w:rPr>
      </w:pPr>
      <w:r>
        <w:rPr>
          <w:rFonts w:hAnsi="黑体" w:eastAsia="黑体"/>
          <w:color w:val="auto"/>
          <w:sz w:val="32"/>
          <w:szCs w:val="32"/>
        </w:rPr>
        <w:t>（参照《北京市水行政处罚程序若干规定》）</w:t>
      </w:r>
    </w:p>
    <w:p>
      <w:pPr>
        <w:spacing w:line="600" w:lineRule="exact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 xml:space="preserve">    重大行政处罚决定中对公民处以超过10000元罚款，对法人或其他组织处以超过10万元罚款的。</w:t>
      </w:r>
    </w:p>
    <w:p>
      <w:pPr>
        <w:spacing w:line="600" w:lineRule="exact"/>
        <w:rPr>
          <w:rFonts w:eastAsia="黑体"/>
          <w:color w:val="auto"/>
          <w:sz w:val="32"/>
          <w:szCs w:val="32"/>
        </w:rPr>
      </w:pPr>
      <w:r>
        <w:rPr>
          <w:rFonts w:eastAsia="黑体"/>
          <w:color w:val="auto"/>
          <w:sz w:val="32"/>
          <w:szCs w:val="32"/>
        </w:rPr>
        <w:t xml:space="preserve">    </w:t>
      </w:r>
      <w:r>
        <w:rPr>
          <w:rFonts w:hAnsi="黑体" w:eastAsia="黑体"/>
          <w:color w:val="auto"/>
          <w:sz w:val="32"/>
          <w:szCs w:val="32"/>
        </w:rPr>
        <w:t>四、原卫</w:t>
      </w:r>
      <w:r>
        <w:rPr>
          <w:rFonts w:hint="eastAsia" w:hAnsi="黑体" w:eastAsia="黑体"/>
          <w:color w:val="auto"/>
          <w:sz w:val="32"/>
          <w:szCs w:val="32"/>
          <w:lang w:eastAsia="zh-CN"/>
        </w:rPr>
        <w:t>健</w:t>
      </w:r>
      <w:r>
        <w:rPr>
          <w:rFonts w:hAnsi="黑体" w:eastAsia="黑体"/>
          <w:color w:val="auto"/>
          <w:sz w:val="32"/>
          <w:szCs w:val="32"/>
        </w:rPr>
        <w:t>委下放职权中重大行政执法决定事项目录</w:t>
      </w:r>
    </w:p>
    <w:p>
      <w:pPr>
        <w:spacing w:line="600" w:lineRule="exact"/>
        <w:rPr>
          <w:rFonts w:eastAsia="仿宋_GB2312"/>
          <w:color w:val="auto"/>
          <w:sz w:val="32"/>
          <w:szCs w:val="32"/>
        </w:rPr>
      </w:pPr>
      <w:r>
        <w:rPr>
          <w:rFonts w:eastAsia="黑体"/>
          <w:color w:val="auto"/>
          <w:sz w:val="32"/>
          <w:szCs w:val="32"/>
        </w:rPr>
        <w:t xml:space="preserve">    </w:t>
      </w:r>
      <w:r>
        <w:rPr>
          <w:rFonts w:eastAsia="仿宋_GB2312"/>
          <w:color w:val="auto"/>
          <w:sz w:val="32"/>
          <w:szCs w:val="32"/>
        </w:rPr>
        <w:t>重大行政处罚决定中对公民处以超过1000元罚款，对法人或其他组织处以超过3万元罚款的。</w:t>
      </w:r>
    </w:p>
    <w:p>
      <w:pPr>
        <w:spacing w:line="600" w:lineRule="exact"/>
        <w:rPr>
          <w:rFonts w:eastAsia="黑体"/>
          <w:color w:val="auto"/>
          <w:sz w:val="32"/>
          <w:szCs w:val="32"/>
        </w:rPr>
      </w:pPr>
      <w:r>
        <w:rPr>
          <w:rFonts w:eastAsia="黑体"/>
          <w:color w:val="auto"/>
          <w:sz w:val="32"/>
          <w:szCs w:val="32"/>
        </w:rPr>
        <w:t xml:space="preserve">    </w:t>
      </w:r>
      <w:r>
        <w:rPr>
          <w:rFonts w:hAnsi="黑体" w:eastAsia="黑体"/>
          <w:color w:val="auto"/>
          <w:sz w:val="32"/>
          <w:szCs w:val="32"/>
        </w:rPr>
        <w:t>五、原农业农村局下放职权中重大行政执法决定事项目录</w:t>
      </w:r>
    </w:p>
    <w:p>
      <w:pPr>
        <w:spacing w:line="600" w:lineRule="exact"/>
        <w:ind w:firstLine="640" w:firstLineChars="200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重大行政处罚决定中对公民处以超过3000元罚款，对法人或其他组织处以超过3万元罚款的。</w:t>
      </w:r>
    </w:p>
    <w:p>
      <w:pPr>
        <w:spacing w:line="600" w:lineRule="exact"/>
        <w:rPr>
          <w:rFonts w:eastAsia="黑体"/>
          <w:color w:val="auto"/>
          <w:sz w:val="32"/>
          <w:szCs w:val="32"/>
        </w:rPr>
      </w:pPr>
      <w:r>
        <w:rPr>
          <w:rFonts w:eastAsia="黑体"/>
          <w:color w:val="auto"/>
          <w:sz w:val="32"/>
          <w:szCs w:val="32"/>
        </w:rPr>
        <w:t xml:space="preserve">    </w:t>
      </w:r>
      <w:r>
        <w:rPr>
          <w:rFonts w:hAnsi="黑体" w:eastAsia="黑体"/>
          <w:color w:val="auto"/>
          <w:sz w:val="32"/>
          <w:szCs w:val="32"/>
        </w:rPr>
        <w:t>六、涉及特殊程序的案件审核事项</w:t>
      </w:r>
    </w:p>
    <w:p>
      <w:pPr>
        <w:spacing w:line="600" w:lineRule="exact"/>
        <w:ind w:firstLine="640" w:firstLineChars="200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1.行政处罚实施一般程序案件二次延期的审核；</w:t>
      </w:r>
    </w:p>
    <w:p>
      <w:pPr>
        <w:spacing w:line="600" w:lineRule="exact"/>
        <w:ind w:firstLine="640" w:firstLineChars="200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2.实施查封扣押强制措施案件延期的审核；</w:t>
      </w:r>
    </w:p>
    <w:p>
      <w:pPr>
        <w:spacing w:line="600" w:lineRule="exact"/>
        <w:ind w:firstLine="640" w:firstLineChars="200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3.中止执行案件的审核；</w:t>
      </w:r>
    </w:p>
    <w:p>
      <w:pPr>
        <w:spacing w:line="600" w:lineRule="exact"/>
        <w:ind w:firstLine="640" w:firstLineChars="200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4.实施行政处罚需要调整罚款额度案件的审核；</w:t>
      </w:r>
    </w:p>
    <w:p>
      <w:pPr>
        <w:spacing w:line="600" w:lineRule="exact"/>
        <w:ind w:firstLine="640" w:firstLineChars="200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5.应由其他行政机关管辖并进行案件移送的审核。</w:t>
      </w:r>
    </w:p>
    <w:p>
      <w:pPr>
        <w:spacing w:line="600" w:lineRule="exact"/>
        <w:ind w:firstLine="640" w:firstLineChars="200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七、</w:t>
      </w:r>
      <w:r>
        <w:rPr>
          <w:rFonts w:ascii="黑体" w:hAnsi="黑体" w:eastAsia="黑体"/>
          <w:color w:val="auto"/>
          <w:sz w:val="32"/>
          <w:szCs w:val="32"/>
        </w:rPr>
        <w:t>本单位认为属于重大的其他行政执法决定</w:t>
      </w:r>
      <w:r>
        <w:rPr>
          <w:rFonts w:hint="eastAsia" w:ascii="黑体" w:hAnsi="黑体" w:eastAsia="黑体"/>
          <w:color w:val="auto"/>
          <w:sz w:val="32"/>
          <w:szCs w:val="32"/>
        </w:rPr>
        <w:t>事项</w:t>
      </w:r>
    </w:p>
    <w:p>
      <w:pPr>
        <w:spacing w:line="600" w:lineRule="exact"/>
        <w:ind w:firstLine="640" w:firstLineChars="200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1.</w:t>
      </w:r>
      <w:r>
        <w:rPr>
          <w:rFonts w:hint="eastAsia" w:eastAsia="仿宋_GB2312"/>
          <w:color w:val="auto"/>
          <w:sz w:val="32"/>
          <w:szCs w:val="32"/>
        </w:rPr>
        <w:t>涉及重大国家利益和公共管理利益的</w:t>
      </w:r>
      <w:r>
        <w:rPr>
          <w:rFonts w:eastAsia="仿宋_GB2312"/>
          <w:color w:val="auto"/>
          <w:sz w:val="32"/>
          <w:szCs w:val="32"/>
        </w:rPr>
        <w:t>；</w:t>
      </w:r>
    </w:p>
    <w:p>
      <w:pPr>
        <w:spacing w:line="600" w:lineRule="exact"/>
        <w:ind w:firstLine="640" w:firstLineChars="200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2.社会关注度高、可能造成重大社会影响的；</w:t>
      </w:r>
    </w:p>
    <w:p>
      <w:pPr>
        <w:spacing w:line="600" w:lineRule="exact"/>
        <w:ind w:firstLine="640" w:firstLineChars="200"/>
        <w:rPr>
          <w:rFonts w:eastAsia="仿宋_GB2312"/>
          <w:color w:val="auto"/>
          <w:sz w:val="32"/>
          <w:szCs w:val="32"/>
        </w:rPr>
      </w:pPr>
      <w:r>
        <w:rPr>
          <w:rFonts w:hint="eastAsia" w:eastAsia="仿宋_GB2312"/>
          <w:color w:val="auto"/>
          <w:sz w:val="32"/>
          <w:szCs w:val="32"/>
        </w:rPr>
        <w:t>3.</w:t>
      </w:r>
      <w:r>
        <w:rPr>
          <w:rFonts w:eastAsia="仿宋_GB2312"/>
          <w:color w:val="auto"/>
          <w:sz w:val="32"/>
          <w:szCs w:val="32"/>
        </w:rPr>
        <w:t>涉及人数众多，可能引发群体性事件的；</w:t>
      </w:r>
    </w:p>
    <w:p>
      <w:pPr>
        <w:spacing w:line="600" w:lineRule="exact"/>
        <w:ind w:firstLine="640" w:firstLineChars="200"/>
        <w:rPr>
          <w:rFonts w:eastAsia="仿宋_GB2312"/>
          <w:color w:val="auto"/>
          <w:sz w:val="32"/>
          <w:szCs w:val="32"/>
        </w:rPr>
      </w:pPr>
      <w:r>
        <w:rPr>
          <w:rFonts w:hint="eastAsia" w:eastAsia="仿宋_GB2312"/>
          <w:color w:val="auto"/>
          <w:sz w:val="32"/>
          <w:szCs w:val="32"/>
        </w:rPr>
        <w:t>4.</w:t>
      </w:r>
      <w:r>
        <w:rPr>
          <w:rFonts w:eastAsia="仿宋_GB2312"/>
          <w:color w:val="auto"/>
          <w:sz w:val="32"/>
          <w:szCs w:val="32"/>
        </w:rPr>
        <w:t>其他可能影响地区社会稳定的情形。</w:t>
      </w:r>
    </w:p>
    <w:p>
      <w:pPr>
        <w:rPr>
          <w:color w:val="auto"/>
        </w:rPr>
      </w:pP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Microsoft YaHei UI">
    <w:altName w:val="宋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Stencil">
    <w:panose1 w:val="040409050D0802020404"/>
    <w:charset w:val="00"/>
    <w:family w:val="auto"/>
    <w:pitch w:val="default"/>
    <w:sig w:usb0="00000003" w:usb1="00000000" w:usb2="00000000" w:usb3="00000000" w:csb0="20000001" w:csb1="0000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Tempus Sans ITC">
    <w:panose1 w:val="04020404030D07020202"/>
    <w:charset w:val="00"/>
    <w:family w:val="auto"/>
    <w:pitch w:val="default"/>
    <w:sig w:usb0="00000003" w:usb1="00000000" w:usb2="00000000" w:usb3="00000000" w:csb0="20000001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方正小标宋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粗宋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粗黑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Guli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Guli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Gungsuh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MingLiU_HKSCS">
    <w:panose1 w:val="02020500000000000000"/>
    <w:charset w:val="88"/>
    <w:family w:val="auto"/>
    <w:pitch w:val="default"/>
    <w:sig w:usb0="A00002FF" w:usb1="38CFFCFA" w:usb2="00000016" w:usb3="00000000" w:csb0="00100001" w:csb1="00000000"/>
  </w:font>
  <w:font w:name="MingLiU_HKSCS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Aharoni">
    <w:panose1 w:val="02010803020104030203"/>
    <w:charset w:val="00"/>
    <w:family w:val="auto"/>
    <w:pitch w:val="default"/>
    <w:sig w:usb0="00000801" w:usb1="00000000" w:usb2="00000000" w:usb3="00000000" w:csb0="00000020" w:csb1="00200000"/>
  </w:font>
  <w:font w:name="Andalus">
    <w:panose1 w:val="02020603050405020304"/>
    <w:charset w:val="00"/>
    <w:family w:val="auto"/>
    <w:pitch w:val="default"/>
    <w:sig w:usb0="00002003" w:usb1="80000000" w:usb2="00000008" w:usb3="00000000" w:csb0="00000041" w:csb1="20080000"/>
  </w:font>
  <w:font w:name="Angsana New">
    <w:panose1 w:val="02020603050405020304"/>
    <w:charset w:val="00"/>
    <w:family w:val="auto"/>
    <w:pitch w:val="default"/>
    <w:sig w:usb0="81000003" w:usb1="00000000" w:usb2="00000000" w:usb3="00000000" w:csb0="00010001" w:csb1="00000000"/>
  </w:font>
  <w:font w:name="AngsanaUPC">
    <w:panose1 w:val="02020603050405020304"/>
    <w:charset w:val="00"/>
    <w:family w:val="auto"/>
    <w:pitch w:val="default"/>
    <w:sig w:usb0="81000003" w:usb1="00000000" w:usb2="00000000" w:usb3="00000000" w:csb0="00010001" w:csb1="00000000"/>
  </w:font>
  <w:font w:name="Bauhaus 93">
    <w:panose1 w:val="04030905020B02020C02"/>
    <w:charset w:val="00"/>
    <w:family w:val="auto"/>
    <w:pitch w:val="default"/>
    <w:sig w:usb0="00000003" w:usb1="00000000" w:usb2="00000000" w:usb3="00000000" w:csb0="20000001" w:csb1="00000000"/>
  </w:font>
  <w:font w:name="Bernard MT Condensed">
    <w:panose1 w:val="02050806060905020404"/>
    <w:charset w:val="00"/>
    <w:family w:val="auto"/>
    <w:pitch w:val="default"/>
    <w:sig w:usb0="00000003" w:usb1="00000000" w:usb2="00000000" w:usb3="00000000" w:csb0="20000001" w:csb1="00000000"/>
  </w:font>
  <w:font w:name="Bodoni MT Condensed">
    <w:altName w:val="Segoe Print"/>
    <w:panose1 w:val="02070606080606020203"/>
    <w:charset w:val="00"/>
    <w:family w:val="auto"/>
    <w:pitch w:val="default"/>
    <w:sig w:usb0="00000000" w:usb1="00000000" w:usb2="00000000" w:usb3="00000000" w:csb0="20000001" w:csb1="00000000"/>
  </w:font>
  <w:font w:name="Book Antiqua">
    <w:panose1 w:val="02040602050305030304"/>
    <w:charset w:val="00"/>
    <w:family w:val="auto"/>
    <w:pitch w:val="default"/>
    <w:sig w:usb0="00000287" w:usb1="00000000" w:usb2="00000000" w:usb3="00000000" w:csb0="2000009F" w:csb1="DFD70000"/>
  </w:font>
  <w:font w:name="Candara">
    <w:panose1 w:val="020E0502030303020204"/>
    <w:charset w:val="00"/>
    <w:family w:val="auto"/>
    <w:pitch w:val="default"/>
    <w:sig w:usb0="A00002EF" w:usb1="4000A44B" w:usb2="00000000" w:usb3="00000000" w:csb0="2000019F" w:csb1="00000000"/>
  </w:font>
  <w:font w:name="Century Schoolbook">
    <w:altName w:val="Century"/>
    <w:panose1 w:val="02040604050505020304"/>
    <w:charset w:val="00"/>
    <w:family w:val="auto"/>
    <w:pitch w:val="default"/>
    <w:sig w:usb0="00000000" w:usb1="00000000" w:usb2="00000000" w:usb3="00000000" w:csb0="2000009F" w:csb1="DFD70000"/>
  </w:font>
  <w:font w:name="Century Gothic">
    <w:panose1 w:val="020B0502020202020204"/>
    <w:charset w:val="00"/>
    <w:family w:val="auto"/>
    <w:pitch w:val="default"/>
    <w:sig w:usb0="00000287" w:usb1="00000000" w:usb2="00000000" w:usb3="00000000" w:csb0="2000009F" w:csb1="DFD70000"/>
  </w:font>
  <w:font w:name="Century">
    <w:panose1 w:val="02040604050505020304"/>
    <w:charset w:val="00"/>
    <w:family w:val="auto"/>
    <w:pitch w:val="default"/>
    <w:sig w:usb0="00000287" w:usb1="00000000" w:usb2="00000000" w:usb3="00000000" w:csb0="2000009F" w:csb1="DFD70000"/>
  </w:font>
  <w:font w:name="Centaur">
    <w:panose1 w:val="02030504050205020304"/>
    <w:charset w:val="00"/>
    <w:family w:val="auto"/>
    <w:pitch w:val="default"/>
    <w:sig w:usb0="00000003" w:usb1="00000000" w:usb2="00000000" w:usb3="00000000" w:csb0="20000001" w:csb1="00000000"/>
  </w:font>
  <w:font w:name="Castellar">
    <w:altName w:val="Segoe Print"/>
    <w:panose1 w:val="020A0402060406010301"/>
    <w:charset w:val="00"/>
    <w:family w:val="auto"/>
    <w:pitch w:val="default"/>
    <w:sig w:usb0="00000000" w:usb1="00000000" w:usb2="00000000" w:usb3="00000000" w:csb0="20000001" w:csb1="00000000"/>
  </w:font>
  <w:font w:name="Cambria Math">
    <w:panose1 w:val="02040503050406030204"/>
    <w:charset w:val="00"/>
    <w:family w:val="auto"/>
    <w:pitch w:val="default"/>
    <w:sig w:usb0="E00002FF" w:usb1="420024FF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653C87"/>
    <w:rsid w:val="06653C87"/>
    <w:rsid w:val="0E7479E5"/>
    <w:rsid w:val="15A7631D"/>
    <w:rsid w:val="1A9F736A"/>
    <w:rsid w:val="4A9477B5"/>
    <w:rsid w:val="4AF33A9E"/>
    <w:rsid w:val="6D455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Office_10.8.0.6308_F1E327BC-269C-435d-A152-05C5408002CA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2021-10-14T06:11:00Z</dcterms:created>
  <dc:creator>tjh</dc:creator>
  <cp:lastModifiedBy>tjh</cp:lastModifiedBy>
  <dcterms:modified xsi:type="dcterms:W3CDTF">2021-10-21T01:46:34Z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</Properties>
</file>