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center"/>
        <w:textAlignment w:val="auto"/>
        <w:rPr>
          <w:rFonts w:ascii="方正小标宋简体" w:hAnsi="方正小标宋简体" w:eastAsia="方正小标宋简体" w:cs="方正小标宋简体"/>
          <w:color w:val="40404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</w:rPr>
        <w:t>北京市朝阳区卫生健康委员会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  <w:lang w:val="en-US" w:eastAsia="zh-CN"/>
        </w:rPr>
        <w:t>朝阳区健康促进宣传品制作服务等</w:t>
      </w:r>
      <w:r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</w:rPr>
        <w:t>项目遴选</w:t>
      </w:r>
      <w:r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</w:rPr>
        <w:t>公告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center"/>
        <w:textAlignment w:val="auto"/>
        <w:rPr>
          <w:rFonts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</w:rPr>
      </w:pP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按照政府购买社会力量公共服务工作要求，朝阳区卫生健康委根据工作职责，现面向社会公开遴选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北京市朝阳区卫生健康委员会政府购买服务项目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的承担单位，有关事项公告如下：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黑体" w:hAnsi="黑体" w:eastAsia="黑体" w:cs="黑体"/>
          <w:color w:val="404040"/>
          <w:sz w:val="32"/>
          <w:szCs w:val="32"/>
        </w:rPr>
      </w:pP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 xml:space="preserve">  一、委托单位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北京市朝阳区卫生健康委员会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黑体" w:hAnsi="黑体" w:eastAsia="黑体" w:cs="黑体"/>
          <w:color w:val="404040"/>
          <w:sz w:val="32"/>
          <w:szCs w:val="32"/>
        </w:rPr>
      </w:pP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 xml:space="preserve">  二、申请单位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</w:rPr>
        <w:t>具备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  <w:lang w:eastAsia="zh-CN"/>
        </w:rPr>
        <w:t>相关资质和能力的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</w:rPr>
        <w:t>企业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</w:rPr>
        <w:t>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黑体" w:hAnsi="黑体" w:eastAsia="黑体" w:cs="黑体"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</w:t>
      </w: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>三、工作任务</w:t>
      </w:r>
    </w:p>
    <w:p>
      <w:pPr>
        <w:pStyle w:val="3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642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  <w:t>1.朝阳区健康促进宣传品制作服务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right="0" w:rightChars="0" w:firstLine="42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  <w:lang w:eastAsia="zh-CN"/>
        </w:rPr>
        <w:t>倡导健康生活方式，普及健康知识，引导各类人群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  <w:lang w:val="en-US" w:eastAsia="zh-CN"/>
        </w:rPr>
        <w:t>积极参与健康促进活动，提高健康素养水平，设计制作重点人群健康促进宣传品或宣传包不少于3种。</w:t>
      </w:r>
    </w:p>
    <w:p>
      <w:pPr>
        <w:pStyle w:val="3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  <w:t xml:space="preserve">    2.朝阳区重点区域地下管井病媒消杀服务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321" w:firstLineChars="1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5月-10月,对辖区内重点主次干道、大型商圈、餐饮比较集中的道路或居民区周边道路地下管井开展病媒消杀，每2月消杀1次，合计3轮次。</w:t>
      </w: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321" w:firstLineChars="1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  <w:t xml:space="preserve"> 3.朝阳区重大活动病媒生物保障服务</w:t>
      </w:r>
    </w:p>
    <w:p>
      <w:pPr>
        <w:pStyle w:val="3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对朝阳区承办的重大活动开展病媒生物密度监测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、消杀防制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和风险评估工作；对朝阳区出现的爱卫职责范围内的病媒生物侵害开展应急消杀工作；对朝阳区出现的突发公共卫生事件开展应急消杀工作。</w:t>
      </w:r>
    </w:p>
    <w:p>
      <w:pPr>
        <w:pStyle w:val="3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  <w:t xml:space="preserve">    4.朝阳区街道</w:t>
      </w: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eastAsia="zh-CN"/>
        </w:rPr>
        <w:t>夏季灭蚊蝇专项密度监测服务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40404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按照全市夏季统一灭蚊蝇时间安排，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对朝阳区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>24个街道办事处开展蚊蝇密度专项监测，针对各街乡每轮集中消杀前后各进行一次蚊蝇密度监测，监测数据汇总后提供区爱卫办。</w:t>
      </w:r>
    </w:p>
    <w:p>
      <w:pPr>
        <w:pStyle w:val="3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642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  <w:t>5.</w:t>
      </w: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  <w:t>朝阳区地区</w:t>
      </w: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eastAsia="zh-CN"/>
        </w:rPr>
        <w:t>夏季灭蚊蝇专项密度监测服务</w:t>
      </w:r>
    </w:p>
    <w:p>
      <w:pPr>
        <w:pStyle w:val="3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642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按照全市夏季统一灭蚊蝇时间安排，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对朝阳区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>19个地区办事处开展蚊蝇密度专项监测，针对各街乡每轮集中消杀前后各进行一次蚊蝇密度监测，监测数据汇总后提供区爱卫办。</w:t>
      </w:r>
    </w:p>
    <w:p>
      <w:pPr>
        <w:pStyle w:val="3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642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>6.</w:t>
      </w: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  <w:t>朝阳区国家卫生区复审街道督导服务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>根据《国家卫生城市和国家卫生县标准》（2021版）指标内容，从7大专业对朝阳区24个街道开展巡查督导，对存在问题各街乡形成单独报告。督导频次每季度开展1次，共计3次。</w:t>
      </w:r>
    </w:p>
    <w:p>
      <w:pPr>
        <w:pStyle w:val="3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642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  <w:t>7.朝阳区国家卫生区复审地区督导服务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>根据《国家卫生城市和国家卫生县标准》（2021版）指标内容，从7大专业对朝阳区24个街道开展巡查督导，对存在问题各街乡形成单独报告。督导频次每季度开展1次，共计3次。</w:t>
      </w:r>
    </w:p>
    <w:p>
      <w:pPr>
        <w:pStyle w:val="2"/>
        <w:pageBreakBefore w:val="0"/>
        <w:kinsoku/>
        <w:wordWrap/>
        <w:overflowPunct/>
        <w:topLinePunct w:val="0"/>
        <w:bidi w:val="0"/>
        <w:spacing w:before="0" w:line="560" w:lineRule="exact"/>
        <w:ind w:right="0" w:rightChars="0"/>
        <w:textAlignment w:val="auto"/>
        <w:rPr>
          <w:rFonts w:hint="eastAsia"/>
          <w:lang w:val="en-US" w:eastAsia="zh-CN"/>
        </w:rPr>
      </w:pP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321" w:firstLineChars="1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  <w:t>8.</w:t>
      </w: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</w:rPr>
        <w:t>朝阳区</w:t>
      </w: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eastAsia="zh-CN"/>
        </w:rPr>
        <w:t>重点公共场所病媒生物消杀服务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321" w:firstLineChars="1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  <w:t>5月-10月,对辖区内重点单位、主次干道、大型商圈、餐饮比较集中的居民区周边外环境开展病媒消杀，每2月消杀1次。</w:t>
      </w: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  <w:t xml:space="preserve"> 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  <w:t xml:space="preserve">   9.</w:t>
      </w: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</w:rPr>
        <w:t>朝阳区</w:t>
      </w: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eastAsia="zh-CN"/>
        </w:rPr>
        <w:t>创卫宣传阵地设置服务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321" w:firstLineChars="100"/>
        <w:jc w:val="both"/>
        <w:textAlignment w:val="auto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  <w:t>在43个街乡重点点位、主次干道、公交枢纽站悬等位置预计设置60块左右在户外主次干道护栏悬挂硬质宣传栏、租用公交枢纽站候车厅大屏幕等。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黑体" w:hAnsi="黑体" w:eastAsia="黑体" w:cs="黑体"/>
          <w:color w:val="404040"/>
          <w:sz w:val="32"/>
          <w:szCs w:val="32"/>
        </w:rPr>
      </w:pP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>四、具体要求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1.项目申报主体具有独立法人资格。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2.项目申报主体必须出具科学和可行的项目方案。项目方案必须经朝阳区卫生健康委认可。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3.项目申报主体应当具有履行拟申报任务的专业技术能力，器械设备，必须有开展类似任务的工作经历；应配备项目负责人和专业人员团队，保证时间投入，严格遵循方案执行项目，形成专业报告或项目总结。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4.项目申报主体必须向朝阳区卫生健康委提供书面作业方案和总结，必须参加朝阳区卫生健康委组织的工作进展汇报会、工作布置会和业务培训等，项目结束后由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区卫生健康委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组织对项目进行专业验收评估，并出具验收报告。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5.项目申报主体及其团队应恪守工作规则，未经朝阳区卫生健康委审核同意，不得私自对外发表(发布)部分或全部调查研究结果，所有成果归朝阳区卫生健康委所有。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</w:rPr>
        <w:t xml:space="preserve"> </w:t>
      </w: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 xml:space="preserve">  五、申报和评审事宜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1.申报期限：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日—202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日。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2.下载材料：申请单位可使用电脑谷歌浏览器登录北京朝阳(http://www.bjchy.gov.cn/),点击通知公告服务栏目，点击朝阳区卫生健康委下载《朝阳区卫健委政府购买服务项目承办申请书》(以下简称《承办申请书》)。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3.填写材料：申请材料填写内容应简明扼要，突出重点，针对性强。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申报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材料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文件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格式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统一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为WORD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或WPS文字格式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申报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内容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里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文字部分不得以图片形式体现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，否则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默认为无效标识。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4.提交材料：申请单位应在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前将盖章的《承办申请书》电子扫描件提交至：cyqwjwawk@bjchy.gov.c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>n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，并在邮件主题处注明“政府购买服务项目”字样。所有材料纸质版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份送至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或快递至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北京市朝阳区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卫生健康委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，以邮戳或邮件发送时间为准，请在信函右上角注明“项目申请”。来函中请明确一名负责项目申报工作的联系人及联系方式，以便通知结果。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5.组织评审：朝阳区卫生健康委将组织评审小组，从项目方案的科学合理性、创新性和可行性，项目团队实力和工作经验基础等方面，对申请单位的申请书进行评估，每个项目择优遴选1家项目承担单位。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6.结果公示：评审结果将在北京朝阳(网站)-通知公告-朝阳区卫生健康委内予以公示。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黑体" w:hAnsi="黑体" w:eastAsia="黑体" w:cs="黑体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</w:t>
      </w: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>六、项目经费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明细见附件。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黑体" w:hAnsi="黑体" w:eastAsia="黑体" w:cs="黑体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</w:t>
      </w: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>七、联系方式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联系人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>王勃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　联系电话：85622619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邮箱：cyqwjwawk@bjchy.gov.cn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  <w:rPr>
          <w:rFonts w:hint="eastAsia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pacing w:before="0" w:line="560" w:lineRule="exact"/>
        <w:ind w:right="0" w:rightChars="0"/>
        <w:textAlignment w:val="auto"/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pacing w:before="0"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pacing w:before="0"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pacing w:before="0"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pacing w:before="0"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pacing w:before="0"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jc w:val="center"/>
        <w:textAlignment w:val="auto"/>
        <w:rPr>
          <w:rFonts w:ascii="宋体" w:hAnsi="宋体" w:cs="宋体"/>
          <w:b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朝阳区卫健委政府购买服务项目明细</w:t>
      </w:r>
    </w:p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jc w:val="center"/>
        <w:textAlignment w:val="auto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及金额</w:t>
      </w: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6436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朝阳区健康促进宣传品制作服务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10.06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朝阳区重点区域地下管井病媒消杀服务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42.6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朝阳区重大活动病媒生物保障服务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朝阳区街道夏季灭蚊蝇专项密度监测服务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朝阳区地区夏季灭蚊蝇专项密度监测服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务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朝阳区国家卫生区复审街道督导服务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朝阳区国家卫生区复审地区督导服务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朝阳区重点公共场所病媒生物消杀服务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朝阳区创卫宣传阵地设置服务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46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404040"/>
          <w:sz w:val="28"/>
          <w:szCs w:val="28"/>
          <w:shd w:val="clear" w:color="auto" w:fill="FFFFFF"/>
          <w:lang w:val="en-US" w:eastAsia="zh-CN"/>
        </w:rPr>
        <w:br w:type="page"/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jc w:val="center"/>
        <w:textAlignment w:val="auto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朝阳区卫健委政府购买服务项目承办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jc w:val="center"/>
        <w:textAlignment w:val="auto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申请书</w:t>
      </w:r>
    </w:p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jc w:val="left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5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73"/>
        <w:gridCol w:w="1154"/>
        <w:gridCol w:w="1276"/>
        <w:gridCol w:w="1790"/>
        <w:gridCol w:w="20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1161" w:right="0" w:rightChars="0" w:hanging="1161" w:hangingChars="645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84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9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9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9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9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82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9060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after="156" w:afterLines="50" w:line="560" w:lineRule="exact"/>
              <w:ind w:right="0" w:rightChars="0"/>
              <w:textAlignment w:val="auto"/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before="0" w:line="560" w:lineRule="exact"/>
              <w:ind w:right="0" w:rightChars="0"/>
              <w:textAlignment w:val="auto"/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before="0" w:line="560" w:lineRule="exact"/>
              <w:ind w:right="0" w:rightChars="0"/>
              <w:textAlignment w:val="auto"/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5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</w:trPr>
        <w:tc>
          <w:tcPr>
            <w:tcW w:w="9060" w:type="dxa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right="0" w:rightChars="0" w:firstLine="750" w:firstLineChars="250"/>
              <w:textAlignment w:val="auto"/>
              <w:rPr>
                <w:rFonts w:ascii="仿宋_GB2312" w:hAnsi="仿宋_GB2312"/>
                <w:sz w:val="3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right="0" w:rightChars="0" w:firstLine="750" w:firstLineChars="250"/>
              <w:textAlignment w:val="auto"/>
              <w:rPr>
                <w:rFonts w:ascii="仿宋_GB2312" w:hAnsi="仿宋_GB2312"/>
                <w:sz w:val="3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right="0" w:rightChars="0" w:firstLine="750" w:firstLineChars="250"/>
              <w:textAlignment w:val="auto"/>
              <w:rPr>
                <w:rFonts w:ascii="仿宋_GB2312" w:hAnsi="仿宋_GB2312"/>
                <w:sz w:val="30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5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120"/>
        <w:gridCol w:w="1587"/>
        <w:gridCol w:w="828"/>
        <w:gridCol w:w="2283"/>
        <w:gridCol w:w="141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1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  <w:tc>
          <w:tcPr>
            <w:tcW w:w="82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2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1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1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2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1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2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1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22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1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2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1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22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943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合计（单位：万元）</w:t>
            </w:r>
          </w:p>
        </w:tc>
        <w:tc>
          <w:tcPr>
            <w:tcW w:w="6117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明细说明</w:t>
            </w:r>
          </w:p>
        </w:tc>
        <w:tc>
          <w:tcPr>
            <w:tcW w:w="8237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before="0" w:line="560" w:lineRule="exact"/>
              <w:ind w:right="0" w:rightChars="0"/>
              <w:textAlignment w:val="auto"/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 w:firstLine="480" w:firstLineChars="200"/>
              <w:jc w:val="left"/>
              <w:textAlignment w:val="auto"/>
              <w:rPr>
                <w:sz w:val="24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5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060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  <w:rPr>
                <w:sz w:val="30"/>
                <w:szCs w:val="3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 w:firstLine="600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 w:firstLine="150" w:firstLineChars="50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  <w:rPr>
                <w:sz w:val="30"/>
                <w:szCs w:val="30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0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decorative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roman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roman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modern"/>
    <w:pitch w:val="default"/>
    <w:sig w:usb0="80000287" w:usb1="28CF3C52" w:usb2="00000016" w:usb3="00000000" w:csb0="0004001F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decorative"/>
    <w:pitch w:val="default"/>
    <w:sig w:usb0="80000287" w:usb1="28CF3C52" w:usb2="00000016" w:usb3="00000000" w:csb0="0004001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 W3">
    <w:altName w:val="宋体"/>
    <w:panose1 w:val="00000000000000000000"/>
    <w:charset w:val="80"/>
    <w:family w:val="auto"/>
    <w:pitch w:val="default"/>
    <w:sig w:usb0="00000000" w:usb1="00000000" w:usb2="00000016" w:usb3="00000000" w:csb0="00060007" w:csb1="00000000"/>
  </w:font>
  <w:font w:name="Lantinghei SC Demibold">
    <w:altName w:val="宋体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Lantinghei SC Extralight">
    <w:altName w:val="宋体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Arial Unicode MS">
    <w:altName w:val="Arial"/>
    <w:panose1 w:val="020B0604020202020204"/>
    <w:charset w:val="80"/>
    <w:family w:val="auto"/>
    <w:pitch w:val="default"/>
    <w:sig w:usb0="00000000" w:usb1="00000000" w:usb2="0000003F" w:usb3="00000000" w:csb0="603F01FF" w:csb1="FFFF0000"/>
  </w:font>
  <w:font w:name="Arial Unicode MS">
    <w:altName w:val="Arial"/>
    <w:panose1 w:val="020B0604020202020204"/>
    <w:charset w:val="88"/>
    <w:family w:val="auto"/>
    <w:pitch w:val="default"/>
    <w:sig w:usb0="00000000" w:usb1="00000000" w:usb2="0000003F" w:usb3="00000000" w:csb0="603F01FF" w:csb1="FFFF0000"/>
  </w:font>
  <w:font w:name="Hiragino Sans GB W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铁筋隶书简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方正黄草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海韵体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方正隶书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隶变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仪蝶语体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Î¢ÈíÑÅºÚ Western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鏂规灏忔爣瀹嬬畝浣?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榛戜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é»‘ä½“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妤蜂綋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æ¥·ä½“_GB2312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文鼎霹雳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黑咪体繁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黑棋体简">
    <w:altName w:val="黑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黛玉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禹卫书法行书简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altName w:val="Latha"/>
    <w:panose1 w:val="02000400000000000000"/>
    <w:charset w:val="00"/>
    <w:family w:val="auto"/>
    <w:pitch w:val="default"/>
    <w:sig w:usb0="00000000" w:usb1="00000000" w:usb2="00000040" w:usb3="00000000" w:csb0="000001FF" w:csb1="00000000"/>
  </w:font>
  <w:font w:name="禹卫书法隶书简体">
    <w:altName w:val="宋体"/>
    <w:panose1 w:val="02000603000000000000"/>
    <w:charset w:val="86"/>
    <w:family w:val="auto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纤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正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鼎CS细等线">
    <w:altName w:val="Lucida Console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中特广告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汉仪魏碑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黑咪体简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黑_YS_GB18030">
    <w:altName w:val="黑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正大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正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正纤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珊瑚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2b72a0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DY256+ZFPQAG-256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54+ZFPQAG-254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cript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Î¢ÈíÑÅºÚ Western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Î¢ÈíÑÅºÚ Western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汉仪海韵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隶书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汉仪蝶语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å®‹ä½“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é»‘ä½“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æ¥·ä½“_GB2312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2b72a0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script"/>
    <w:pitch w:val="default"/>
    <w:sig w:usb0="00000001" w:usb1="080E0000" w:usb2="00000000" w:usb3="00000000" w:csb0="00040000" w:csb1="00000000"/>
  </w:font>
  <w:font w:name="å®‹ä½“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é»‘ä½“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æ¥·ä½“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2b72a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å®‹ä½“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é»‘ä½“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æ¥·ä½“_GB2312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2b72a0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8C1057"/>
    <w:rsid w:val="0007565E"/>
    <w:rsid w:val="008F7C25"/>
    <w:rsid w:val="00B3595B"/>
    <w:rsid w:val="00D71D5E"/>
    <w:rsid w:val="00DB566F"/>
    <w:rsid w:val="00DC4CA4"/>
    <w:rsid w:val="00FB5E56"/>
    <w:rsid w:val="01D121F8"/>
    <w:rsid w:val="02CD220C"/>
    <w:rsid w:val="037830CB"/>
    <w:rsid w:val="046465F5"/>
    <w:rsid w:val="04F2130B"/>
    <w:rsid w:val="06C53E19"/>
    <w:rsid w:val="070D1B27"/>
    <w:rsid w:val="084C5624"/>
    <w:rsid w:val="08903155"/>
    <w:rsid w:val="09C90B60"/>
    <w:rsid w:val="0C13792D"/>
    <w:rsid w:val="0C1C295A"/>
    <w:rsid w:val="0DA609FB"/>
    <w:rsid w:val="0DD962A1"/>
    <w:rsid w:val="156F794E"/>
    <w:rsid w:val="16C60A5B"/>
    <w:rsid w:val="182D2262"/>
    <w:rsid w:val="1A412D5F"/>
    <w:rsid w:val="1BC86173"/>
    <w:rsid w:val="1D603CC3"/>
    <w:rsid w:val="224F1C1F"/>
    <w:rsid w:val="225B22DC"/>
    <w:rsid w:val="24902C67"/>
    <w:rsid w:val="24BE46A9"/>
    <w:rsid w:val="2BE97931"/>
    <w:rsid w:val="2C2F558F"/>
    <w:rsid w:val="2DF81256"/>
    <w:rsid w:val="304C494B"/>
    <w:rsid w:val="360C3FCB"/>
    <w:rsid w:val="3B0A68F0"/>
    <w:rsid w:val="3DB53052"/>
    <w:rsid w:val="41623954"/>
    <w:rsid w:val="42AF325F"/>
    <w:rsid w:val="436443FA"/>
    <w:rsid w:val="483C20DC"/>
    <w:rsid w:val="4D18142A"/>
    <w:rsid w:val="4EEB720B"/>
    <w:rsid w:val="51C85435"/>
    <w:rsid w:val="52032C23"/>
    <w:rsid w:val="52F72A97"/>
    <w:rsid w:val="5398759D"/>
    <w:rsid w:val="53EB6B70"/>
    <w:rsid w:val="54956EE2"/>
    <w:rsid w:val="55814F6D"/>
    <w:rsid w:val="55E131A0"/>
    <w:rsid w:val="57324456"/>
    <w:rsid w:val="582D579F"/>
    <w:rsid w:val="591676BF"/>
    <w:rsid w:val="5A41706E"/>
    <w:rsid w:val="5AF955A7"/>
    <w:rsid w:val="60641DEB"/>
    <w:rsid w:val="61005C43"/>
    <w:rsid w:val="6372361E"/>
    <w:rsid w:val="680C22AE"/>
    <w:rsid w:val="6831604C"/>
    <w:rsid w:val="6D007181"/>
    <w:rsid w:val="6D8C1057"/>
    <w:rsid w:val="726C56A0"/>
    <w:rsid w:val="74C8183B"/>
    <w:rsid w:val="76AB195F"/>
    <w:rsid w:val="77C06107"/>
    <w:rsid w:val="79602AF9"/>
    <w:rsid w:val="7DAA15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CYCDPC</Company>
  <Pages>1</Pages>
  <Words>288</Words>
  <Characters>1645</Characters>
  <Lines>13</Lines>
  <Paragraphs>3</Paragraphs>
  <ScaleCrop>false</ScaleCrop>
  <LinksUpToDate>false</LinksUpToDate>
  <CharactersWithSpaces>1930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2021-02-07T02:15:00Z</dcterms:created>
  <dc:creator>Administrator</dc:creator>
  <cp:lastModifiedBy>李宣含</cp:lastModifiedBy>
  <cp:lastPrinted>2023-04-06T06:33:29Z</cp:lastPrinted>
  <dcterms:modified xsi:type="dcterms:W3CDTF">2023-04-06T06:41:49Z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