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Lines="150" w:before="477" w:line="560" w:lineRule="exact"/>
        <w:jc w:val="distribute"/>
        <w:rPr>
          <w:rFonts w:ascii="Times New Roman" w:eastAsia="华文中宋" w:hAnsi="Times New Roman"/>
          <w:color w:val="FF3300"/>
          <w:spacing w:val="-40"/>
          <w:w w:val="96"/>
          <w:sz w:val="70"/>
          <w:szCs w:val="70"/>
        </w:rPr>
      </w:pPr>
      <w:r>
        <w:rPr>
          <w:rFonts w:ascii="Times New Roman" w:eastAsia="华文中宋" w:hAnsi="Times New Roman"/>
          <w:bCs/>
          <w:color w:val="FF3300"/>
          <w:spacing w:val="-40"/>
          <w:w w:val="96"/>
          <w:sz w:val="70"/>
          <w:szCs w:val="70"/>
        </w:rPr>
        <w:t>北京市朝阳区发展和改革委员会</w:t>
      </w:r>
    </w:p>
    <w:p>
      <w:pPr>
        <w:spacing w:line="560" w:lineRule="exact"/>
        <w:jc w:val="center"/>
        <w:rPr>
          <w:rFonts w:ascii="Times New Roman" w:eastAsia="方正小标宋简体" w:hAnsi="Times New Roman"/>
          <w:color w:val="FF0000"/>
          <w:spacing w:val="-6"/>
          <w:sz w:val="60"/>
          <w:szCs w:val="60"/>
        </w:rPr>
      </w:pPr>
    </w:p>
    <w:p>
      <w:pPr>
        <w:spacing w:line="560" w:lineRule="exact"/>
        <w:jc w:val="center"/>
        <w:rPr>
          <w:rFonts w:ascii="Times New Roman" w:eastAsia="方正小标宋简体" w:hAnsi="Times New Roman"/>
          <w:kern w:val="0"/>
          <w:sz w:val="36"/>
          <w:szCs w:val="44"/>
        </w:rPr>
      </w:pPr>
      <w:r>
        <w:rPr>
          <w:rFonts w:ascii="Times New Roman" w:eastAsia="仿宋_GB2312" w:hAnsi="Times New Roman"/>
          <w:bCs/>
          <w:kern w:val="0"/>
          <w:sz w:val="32"/>
          <w:szCs w:val="30"/>
        </w:rPr>
        <w:t>朝发改〔2024〕</w:t>
      </w:r>
      <w:r>
        <w:rPr>
          <w:rFonts w:ascii="Times New Roman" w:eastAsia="仿宋_GB2312" w:hAnsi="Times New Roman" w:hint="eastAsia"/>
          <w:bCs/>
          <w:kern w:val="0"/>
          <w:sz w:val="32"/>
          <w:szCs w:val="30"/>
        </w:rPr>
        <w:t>212</w:t>
      </w:r>
      <w:r>
        <w:rPr>
          <w:rFonts w:ascii="Times New Roman" w:eastAsia="仿宋_GB2312" w:hAnsi="Times New Roman"/>
          <w:bCs/>
          <w:kern w:val="0"/>
          <w:sz w:val="32"/>
          <w:szCs w:val="30"/>
        </w:rPr>
        <w:t>号</w:t>
      </w:r>
    </w:p>
    <w:p>
      <w:pPr>
        <w:autoSpaceDE w:val="0"/>
        <w:autoSpaceDN w:val="0"/>
        <w:adjustRightInd w:val="0"/>
        <w:spacing w:line="560" w:lineRule="exact"/>
        <w:jc w:val="center"/>
        <w:rPr>
          <w:rFonts w:ascii="Times New Roman" w:eastAsia="方正小标宋简体" w:hAnsi="Times New Roman"/>
          <w:caps w:val="0"/>
          <w:smallCaps/>
          <w:color w:val="000000"/>
          <w:kern w:val="0"/>
          <w:sz w:val="40"/>
          <w:szCs w:val="52"/>
          <w:lang w:bidi="en-US"/>
        </w:rPr>
      </w:pPr>
      <w:r>
        <w:rPr>
          <w:rFonts w:ascii="Times New Roman" w:eastAsia="方正小标宋简体" w:hAnsi="Times New Roman"/>
          <w:spacing w:val="-6"/>
          <w:sz w:val="40"/>
          <w:szCs w:val="40"/>
        </w:rPr>
        <mc:AlternateContent>
          <mc:Choice Requires="wps">
            <w:drawing>
              <wp:anchor distT="0" distB="0" distL="114298" distR="114298" simplePos="0" relativeHeight="12" behindDoc="0" locked="0" layoutInCell="1" hidden="0" allowOverlap="1">
                <wp:simplePos x="0" y="0"/>
                <wp:positionH relativeFrom="column">
                  <wp:posOffset>57150</wp:posOffset>
                </wp:positionH>
                <wp:positionV relativeFrom="paragraph">
                  <wp:posOffset>53339</wp:posOffset>
                </wp:positionV>
                <wp:extent cx="5579745" cy="952"/>
                <wp:effectExtent l="0" t="0" r="0" b="0"/>
                <wp:wrapNone/>
                <wp:docPr id="1" name="AutoShape 2"/>
                <wp:cNvGraphicFramePr>
                  <a:graphicFrameLocks noChangeAspect="0"/>
                </wp:cNvGraphicFramePr>
                <a:graphic>
                  <a:graphicData uri="http://schemas.microsoft.com/office/word/2010/wordprocessingShape">
                    <wps:wsp>
                      <wps:cNvSpPr/>
                      <wps:spPr>
                        <a:xfrm rot="0">
                          <a:off x="1064895" y="2322830"/>
                          <a:ext cx="5579745" cy="952"/>
                        </a:xfrm>
                        <a:prstGeom prst="straightConnector1"/>
                        <a:noFill/>
                        <a:ln w="19050" cmpd="sng" cap="flat">
                          <a:solidFill>
                            <a:srgbClr val="FF0000"/>
                          </a:solidFill>
                          <a:prstDash val="solid"/>
                          <a:round/>
                        </a:ln>
                      </wps:spPr>
                      <wps:bodyPr vert="horz" wrap="square" lIns="91440" tIns="45720" rIns="91440" bIns="45720" anchor="t" anchorCtr="0" upright="1">
                        <a:noAutofit/>
                      </wps:bodyPr>
                    </wps:wsp>
                  </a:graphicData>
                </a:graphic>
              </wp:anchor>
            </w:drawing>
          </mc:Choice>
          <mc:Fallback>
            <w:pict>
              <v:shape type="#_x0000_t32" id="AutoShape 2 2" o:spid="_x0000_s2" filled="f" stroked="t" strokeweight="1.5pt" style="position:absolute;margin-left:4.5pt;margin-top:4.199998pt;width:439.34998pt;height:0.07500315pt;z-index:12;mso-position-horizontal:absolute;mso-position-vertical:absolute;mso-wrap-distance-left:8.999863pt;mso-wrap-distance-right:8.999863pt;">
                <v:stroke color="#FF0000"/>
              </v:shape>
            </w:pict>
          </mc:Fallback>
        </mc:AlternateContent>
      </w:r>
    </w:p>
    <w:p>
      <w:pPr>
        <w:autoSpaceDE w:val="0"/>
        <w:autoSpaceDN w:val="0"/>
        <w:adjustRightInd w:val="0"/>
        <w:spacing w:line="560" w:lineRule="exact"/>
        <w:jc w:val="center"/>
        <w:rPr>
          <w:rFonts w:ascii="方正小标宋简体" w:eastAsia="方正小标宋简体" w:cs="方正小标宋简体"/>
          <w:caps w:val="0"/>
          <w:smallCaps/>
          <w:color w:val="000000"/>
          <w:kern w:val="0"/>
          <w:sz w:val="44"/>
          <w:szCs w:val="44"/>
          <w:lang w:bidi="en-US"/>
        </w:rPr>
      </w:pPr>
      <w:r>
        <w:rPr>
          <w:rFonts w:ascii="方正小标宋简体" w:eastAsia="方正小标宋简体" w:cs="方正小标宋简体" w:hint="eastAsia"/>
          <w:caps w:val="0"/>
          <w:smallCaps/>
          <w:color w:val="000000"/>
          <w:kern w:val="0"/>
          <w:sz w:val="44"/>
          <w:szCs w:val="44"/>
          <w:lang w:bidi="en-US"/>
        </w:rPr>
        <w:t>关于印发《朝阳区加快推动设备更新和</w:t>
      </w:r>
    </w:p>
    <w:p>
      <w:pPr>
        <w:autoSpaceDE w:val="0"/>
        <w:autoSpaceDN w:val="0"/>
        <w:adjustRightInd w:val="0"/>
        <w:spacing w:line="560" w:lineRule="exact"/>
        <w:jc w:val="center"/>
        <w:rPr>
          <w:rFonts w:ascii="方正小标宋简体" w:eastAsia="方正小标宋简体" w:cs="方正小标宋简体"/>
          <w:caps w:val="0"/>
          <w:smallCaps/>
          <w:color w:val="000000"/>
          <w:kern w:val="0"/>
          <w:sz w:val="44"/>
          <w:szCs w:val="44"/>
          <w:lang w:bidi="en-US"/>
        </w:rPr>
      </w:pPr>
      <w:r>
        <w:rPr>
          <w:rFonts w:ascii="方正小标宋简体" w:eastAsia="方正小标宋简体" w:cs="方正小标宋简体" w:hint="eastAsia"/>
          <w:caps w:val="0"/>
          <w:smallCaps/>
          <w:color w:val="000000"/>
          <w:kern w:val="0"/>
          <w:sz w:val="44"/>
          <w:szCs w:val="44"/>
          <w:lang w:bidi="en-US"/>
        </w:rPr>
        <w:t>消费品以旧换新行动方案》的通知</w:t>
      </w:r>
    </w:p>
    <w:p>
      <w:pPr>
        <w:spacing w:line="560" w:lineRule="exact"/>
        <w:rPr>
          <w:rFonts w:ascii="Times New Roman" w:eastAsia="仿宋_GB2312" w:hAnsi="Times New Roman"/>
          <w:color w:val="000000"/>
          <w:sz w:val="32"/>
          <w:szCs w:val="32"/>
        </w:rPr>
      </w:pPr>
    </w:p>
    <w:p>
      <w:pPr>
        <w:spacing w:line="560" w:lineRule="exac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各相关单位</w:t>
      </w:r>
      <w:r>
        <w:rPr>
          <w:rFonts w:ascii="Times New Roman" w:eastAsia="仿宋_GB2312" w:hAnsi="Times New Roman"/>
          <w:color w:val="000000"/>
          <w:sz w:val="32"/>
          <w:szCs w:val="32"/>
        </w:rPr>
        <w:t>：</w:t>
      </w:r>
    </w:p>
    <w:p>
      <w:pPr>
        <w:tabs>
          <w:tab w:val="left" w:pos="4396"/>
        </w:tabs>
        <w:spacing w:line="560" w:lineRule="exact"/>
        <w:ind w:firstLineChars="200" w:firstLine="640"/>
        <w:outlineLvl w:val="2"/>
        <w:rPr>
          <w:rFonts w:ascii="Times New Roman" w:eastAsia="仿宋_GB2312" w:hAnsi="Times New Roman"/>
          <w:color w:val="000000"/>
          <w:sz w:val="32"/>
          <w:szCs w:val="32"/>
          <w:u w:color="000000"/>
        </w:rPr>
      </w:pPr>
      <w:r>
        <w:rPr>
          <w:rFonts w:ascii="Times New Roman" w:eastAsia="仿宋_GB2312" w:hAnsi="Times New Roman" w:hint="eastAsia"/>
          <w:sz w:val="32"/>
          <w:szCs w:val="32"/>
        </w:rPr>
        <w:t>经区政府同意，现将《朝阳区加快推动设备更新和消费品以旧换新行动方案》印发实施，请结合</w:t>
      </w:r>
      <w:r>
        <w:rPr>
          <w:rFonts w:ascii="仿宋_GB2312" w:eastAsia="仿宋_GB2312" w:cs="仿宋_GB2312" w:hint="eastAsia"/>
          <w:sz w:val="32"/>
          <w:szCs w:val="32"/>
        </w:rPr>
        <w:t>实际认真</w:t>
      </w:r>
      <w:r>
        <w:rPr>
          <w:rFonts w:ascii="Times New Roman" w:eastAsia="仿宋_GB2312" w:hAnsi="Times New Roman" w:hint="eastAsia"/>
          <w:sz w:val="32"/>
          <w:szCs w:val="32"/>
        </w:rPr>
        <w:t>贯彻落实。</w:t>
      </w:r>
    </w:p>
    <w:p>
      <w:pPr>
        <w:tabs>
          <w:tab w:val="left" w:pos="4396"/>
        </w:tabs>
        <w:spacing w:line="560" w:lineRule="exact"/>
        <w:ind w:leftChars="550" w:left="1155" w:firstLineChars="150" w:firstLine="480"/>
        <w:outlineLvl w:val="2"/>
        <w:rPr>
          <w:rFonts w:ascii="Times New Roman" w:eastAsia="仿宋_GB2312" w:hAnsi="Times New Roman"/>
          <w:sz w:val="32"/>
          <w:szCs w:val="32"/>
        </w:rPr>
      </w:pPr>
    </w:p>
    <w:p>
      <w:pPr>
        <w:pStyle w:val="16"/>
      </w:pPr>
    </w:p>
    <w:p>
      <w:pPr>
        <w:widowControl/>
        <w:spacing w:line="560" w:lineRule="exact"/>
        <w:ind w:firstLineChars="200" w:firstLine="640"/>
        <w:contextualSpacing/>
        <w:jc w:val="center"/>
        <w:rPr>
          <w:rFonts w:ascii="Times New Roman" w:eastAsia="仿宋_GB2312" w:hAnsi="Times New Roman"/>
          <w:color w:val="000000"/>
          <w:kern w:val="0"/>
          <w:sz w:val="32"/>
          <w:szCs w:val="32"/>
          <w:lang w:bidi="en-US"/>
        </w:rPr>
      </w:pPr>
      <w:r>
        <w:rPr>
          <w:rFonts w:ascii="Times New Roman" w:eastAsia="仿宋_GB2312" w:hAnsi="Times New Roman"/>
          <w:color w:val="000000"/>
          <w:kern w:val="0"/>
          <w:sz w:val="32"/>
          <w:szCs w:val="32"/>
          <w:lang w:bidi="en-US"/>
        </w:rPr>
        <w:t xml:space="preserve">                     北京市朝阳区发展和改革委员会</w:t>
      </w:r>
    </w:p>
    <w:p>
      <w:pPr>
        <w:widowControl/>
        <w:spacing w:line="560" w:lineRule="exact"/>
        <w:ind w:firstLineChars="1650" w:firstLine="5280"/>
        <w:contextualSpacing/>
        <w:jc w:val="left"/>
        <w:rPr>
          <w:rFonts w:ascii="Times New Roman" w:eastAsia="仿宋_GB2312" w:hAnsi="Times New Roman"/>
          <w:color w:val="000000"/>
          <w:kern w:val="0"/>
          <w:sz w:val="32"/>
          <w:szCs w:val="32"/>
          <w:lang w:bidi="en-US"/>
        </w:rPr>
      </w:pPr>
      <w:r>
        <w:rPr>
          <w:rFonts w:ascii="Times New Roman" w:eastAsia="仿宋_GB2312" w:hAnsi="Times New Roman"/>
          <w:color w:val="000000"/>
          <w:kern w:val="0"/>
          <w:sz w:val="32"/>
          <w:szCs w:val="32"/>
          <w:lang w:bidi="en-US"/>
        </w:rPr>
        <w:t>2024年</w:t>
      </w:r>
      <w:r>
        <w:rPr>
          <w:rFonts w:ascii="Times New Roman" w:eastAsia="仿宋_GB2312" w:hAnsi="Times New Roman" w:hint="eastAsia"/>
          <w:color w:val="000000"/>
          <w:kern w:val="0"/>
          <w:sz w:val="32"/>
          <w:szCs w:val="32"/>
          <w:lang w:bidi="en-US"/>
        </w:rPr>
        <w:t>5</w:t>
      </w:r>
      <w:r>
        <w:rPr>
          <w:rFonts w:ascii="Times New Roman" w:eastAsia="仿宋_GB2312" w:hAnsi="Times New Roman"/>
          <w:color w:val="000000"/>
          <w:kern w:val="0"/>
          <w:sz w:val="32"/>
          <w:szCs w:val="32"/>
          <w:lang w:bidi="en-US"/>
        </w:rPr>
        <w:t>月</w:t>
      </w:r>
      <w:r>
        <w:rPr>
          <w:rFonts w:ascii="Times New Roman" w:eastAsia="仿宋_GB2312" w:hAnsi="Times New Roman" w:hint="eastAsia"/>
          <w:color w:val="000000"/>
          <w:kern w:val="0"/>
          <w:sz w:val="32"/>
          <w:szCs w:val="32"/>
          <w:lang w:bidi="en-US"/>
        </w:rPr>
        <w:t>17</w:t>
      </w:r>
      <w:r>
        <w:rPr>
          <w:rFonts w:ascii="Times New Roman" w:eastAsia="仿宋_GB2312" w:hAnsi="Times New Roman"/>
          <w:color w:val="000000"/>
          <w:kern w:val="0"/>
          <w:sz w:val="32"/>
          <w:szCs w:val="32"/>
          <w:lang w:bidi="en-US"/>
        </w:rPr>
        <w:t>日</w:t>
      </w:r>
    </w:p>
    <w:p>
      <w:pPr>
        <w:widowControl/>
        <w:spacing w:line="560" w:lineRule="exact"/>
        <w:ind w:firstLineChars="200" w:firstLine="640"/>
        <w:contextualSpacing/>
        <w:jc w:val="left"/>
        <w:rPr>
          <w:rFonts w:ascii="Times New Roman" w:eastAsia="仿宋_GB2312" w:hAnsi="Times New Roman"/>
          <w:color w:val="000000"/>
          <w:kern w:val="0"/>
          <w:sz w:val="32"/>
          <w:szCs w:val="32"/>
          <w:lang w:bidi="en-US"/>
        </w:rPr>
      </w:pPr>
      <w:r>
        <w:rPr>
          <w:rFonts w:ascii="Times New Roman" w:eastAsia="仿宋_GB2312" w:hAnsi="Times New Roman"/>
          <w:color w:val="000000"/>
          <w:kern w:val="0"/>
          <w:sz w:val="32"/>
          <w:szCs w:val="32"/>
          <w:lang w:bidi="en-US"/>
        </w:rPr>
        <w:t>（本文有删减</w:t>
      </w:r>
      <w:bookmarkStart w:id="0" w:name="_GoBack"/>
      <w:bookmarkEnd w:id="0"/>
      <w:r>
        <w:rPr>
          <w:rFonts w:ascii="Times New Roman" w:eastAsia="仿宋_GB2312" w:hAnsi="Times New Roman"/>
          <w:color w:val="000000"/>
          <w:kern w:val="0"/>
          <w:sz w:val="32"/>
          <w:szCs w:val="32"/>
          <w:lang w:bidi="en-US"/>
        </w:rPr>
        <w:t>）</w:t>
      </w:r>
    </w:p>
    <w:p>
      <w:pPr>
        <w:widowControl/>
        <w:spacing w:line="560" w:lineRule="exact"/>
        <w:ind w:firstLineChars="200" w:firstLine="640"/>
        <w:contextualSpacing/>
        <w:jc w:val="left"/>
        <w:rPr>
          <w:rFonts w:ascii="Times New Roman" w:eastAsia="仿宋_GB2312" w:hAnsi="Times New Roman"/>
          <w:color w:val="000000"/>
          <w:kern w:val="0"/>
          <w:sz w:val="32"/>
          <w:szCs w:val="32"/>
          <w:lang w:bidi="en-US"/>
        </w:rPr>
      </w:pPr>
    </w:p>
    <w:p>
      <w:pPr>
        <w:widowControl/>
        <w:spacing w:line="560" w:lineRule="exact"/>
        <w:ind w:firstLineChars="200" w:firstLine="640"/>
        <w:contextualSpacing/>
        <w:jc w:val="left"/>
        <w:rPr>
          <w:rFonts w:ascii="Times New Roman" w:eastAsia="仿宋_GB2312" w:hAnsi="Times New Roman"/>
          <w:color w:val="000000"/>
          <w:kern w:val="0"/>
          <w:sz w:val="32"/>
          <w:szCs w:val="32"/>
          <w:lang w:bidi="en-US"/>
        </w:rPr>
      </w:pPr>
    </w:p>
    <w:p>
      <w:pPr>
        <w:widowControl/>
        <w:spacing w:line="560" w:lineRule="exact"/>
        <w:ind w:firstLineChars="200" w:firstLine="640"/>
        <w:contextualSpacing/>
        <w:jc w:val="left"/>
        <w:rPr>
          <w:rFonts w:ascii="Times New Roman" w:eastAsia="仿宋_GB2312" w:hAnsi="Times New Roman"/>
          <w:color w:val="000000"/>
          <w:kern w:val="0"/>
          <w:sz w:val="32"/>
          <w:szCs w:val="32"/>
          <w:lang w:bidi="en-US"/>
        </w:rPr>
      </w:pPr>
    </w:p>
    <w:p>
      <w:pPr>
        <w:widowControl/>
        <w:spacing w:line="560" w:lineRule="exact"/>
        <w:ind w:firstLineChars="200" w:firstLine="640"/>
        <w:contextualSpacing/>
        <w:jc w:val="left"/>
        <w:rPr>
          <w:rFonts w:ascii="Times New Roman" w:eastAsia="仿宋_GB2312" w:hAnsi="Times New Roman"/>
          <w:color w:val="000000"/>
          <w:kern w:val="0"/>
          <w:sz w:val="32"/>
          <w:szCs w:val="32"/>
          <w:lang w:bidi="en-US"/>
        </w:rPr>
      </w:pPr>
    </w:p>
    <w:p>
      <w:pPr>
        <w:widowControl/>
        <w:spacing w:line="560" w:lineRule="exact"/>
        <w:ind w:firstLineChars="200" w:firstLine="640"/>
        <w:contextualSpacing/>
        <w:jc w:val="left"/>
        <w:rPr>
          <w:rFonts w:ascii="Times New Roman" w:eastAsia="仿宋_GB2312" w:hAnsi="Times New Roman"/>
          <w:color w:val="000000"/>
          <w:kern w:val="0"/>
          <w:sz w:val="32"/>
          <w:szCs w:val="32"/>
          <w:lang w:bidi="en-US"/>
        </w:rPr>
      </w:pPr>
    </w:p>
    <w:p>
      <w:pPr>
        <w:widowControl/>
        <w:spacing w:line="560" w:lineRule="exact"/>
        <w:contextualSpacing/>
        <w:jc w:val="left"/>
        <w:rPr>
          <w:rFonts w:ascii="Times New Roman" w:eastAsia="仿宋_GB2312" w:hAnsi="Times New Roman"/>
          <w:color w:val="000000"/>
          <w:kern w:val="0"/>
          <w:sz w:val="28"/>
          <w:szCs w:val="32"/>
          <w:lang w:bidi="en-US"/>
        </w:rPr>
      </w:pPr>
    </w:p>
    <w:p>
      <w:pPr>
        <w:adjustRightInd w:val="0"/>
        <w:snapToGrid w:val="0"/>
        <w:spacing w:line="560" w:lineRule="exact"/>
        <w:rPr>
          <w:rFonts w:ascii="Times New Roman" w:eastAsia="黑体" w:hAnsi="Times New Roman"/>
          <w:sz w:val="32"/>
          <w:szCs w:val="44"/>
        </w:rPr>
      </w:pPr>
    </w:p>
    <w:p>
      <w:pPr>
        <w:adjustRightInd w:val="0"/>
        <w:snapToGrid w:val="0"/>
        <w:spacing w:line="560" w:lineRule="exact"/>
        <w:rPr>
          <w:rFonts w:ascii="Times New Roman" w:eastAsia="黑体" w:hAnsi="Times New Roman"/>
          <w:sz w:val="32"/>
          <w:szCs w:val="44"/>
        </w:rPr>
      </w:pPr>
    </w:p>
    <w:p>
      <w:pPr>
        <w:adjustRightInd w:val="0"/>
        <w:snapToGrid w:val="0"/>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朝阳区加快推动设备更新和消费品</w:t>
      </w:r>
    </w:p>
    <w:p>
      <w:pPr>
        <w:adjustRightInd w:val="0"/>
        <w:snapToGrid w:val="0"/>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以旧换新行动方案</w:t>
      </w:r>
    </w:p>
    <w:p>
      <w:pPr>
        <w:widowControl/>
        <w:shd w:val="clear" w:color="auto" w:fill="FFFFFF"/>
        <w:spacing w:line="560" w:lineRule="exact"/>
        <w:ind w:firstLineChars="200" w:firstLine="640"/>
        <w:rPr>
          <w:rFonts w:ascii="Times New Roman" w:eastAsia="仿宋_GB2312" w:hAnsi="Times New Roman"/>
          <w:bCs/>
          <w:kern w:val="0"/>
          <w:sz w:val="32"/>
          <w:szCs w:val="32"/>
        </w:rPr>
      </w:pPr>
    </w:p>
    <w:p>
      <w:pPr>
        <w:widowControl/>
        <w:shd w:val="clear" w:color="auto" w:fill="FFFFFF"/>
        <w:spacing w:line="560" w:lineRule="exact"/>
        <w:ind w:firstLineChars="200" w:firstLine="640"/>
        <w:rPr>
          <w:rFonts w:ascii="Times New Roman" w:eastAsia="仿宋_GB2312" w:hAnsi="Times New Roman"/>
          <w:sz w:val="32"/>
          <w:szCs w:val="32"/>
        </w:rPr>
      </w:pPr>
      <w:r>
        <w:rPr>
          <w:rFonts w:ascii="Times New Roman" w:eastAsia="仿宋_GB2312" w:hAnsi="Times New Roman"/>
          <w:bCs/>
          <w:kern w:val="0"/>
          <w:sz w:val="32"/>
          <w:szCs w:val="32"/>
        </w:rPr>
        <w:t>为深入贯彻落实国家、北京市有关决策部署，</w:t>
      </w:r>
      <w:r>
        <w:rPr>
          <w:rFonts w:ascii="Times New Roman" w:eastAsia="仿宋_GB2312" w:hAnsi="Times New Roman"/>
          <w:sz w:val="32"/>
          <w:szCs w:val="32"/>
        </w:rPr>
        <w:t>加快推动朝阳区设备更新和消费品以旧换新，结合区域实际，制定本行动方案。</w:t>
      </w:r>
    </w:p>
    <w:p>
      <w:pPr>
        <w:pStyle w:val="25"/>
        <w:shd w:val="clear" w:color="auto" w:fill="FFFFFF"/>
        <w:spacing w:before="0" w:beforeAutospacing="0" w:after="0" w:afterAutospacing="0" w:line="560" w:lineRule="exact"/>
        <w:ind w:firstLineChars="200" w:firstLine="640"/>
        <w:jc w:val="both"/>
        <w:rPr>
          <w:rFonts w:ascii="Times New Roman" w:eastAsia="黑体" w:cs="Times New Roman" w:hAnsi="Times New Roman"/>
          <w:kern w:val="2"/>
          <w:sz w:val="32"/>
          <w:szCs w:val="21"/>
        </w:rPr>
      </w:pPr>
      <w:r>
        <w:rPr>
          <w:rFonts w:ascii="Times New Roman" w:eastAsia="黑体" w:cs="Times New Roman" w:hAnsi="Times New Roman"/>
          <w:kern w:val="2"/>
          <w:sz w:val="32"/>
          <w:szCs w:val="21"/>
        </w:rPr>
        <w:t>一、总体要求</w:t>
      </w:r>
    </w:p>
    <w:p>
      <w:pPr>
        <w:pStyle w:val="25"/>
        <w:shd w:val="clear" w:color="auto" w:fill="FFFFFF"/>
        <w:spacing w:before="0" w:beforeAutospacing="0" w:after="0" w:afterAutospacing="0" w:line="560" w:lineRule="exact"/>
        <w:ind w:firstLineChars="200" w:firstLine="640"/>
        <w:jc w:val="both"/>
        <w:rPr>
          <w:rFonts w:ascii="Times New Roman" w:eastAsia="楷体_GB2312" w:cs="Times New Roman" w:hAnsi="Times New Roman"/>
          <w:b/>
          <w:sz w:val="32"/>
          <w:szCs w:val="32"/>
        </w:rPr>
      </w:pPr>
      <w:r>
        <w:rPr>
          <w:rFonts w:ascii="Times New Roman" w:eastAsia="楷体_GB2312" w:cs="Times New Roman" w:hAnsi="Times New Roman"/>
          <w:b/>
          <w:sz w:val="32"/>
          <w:szCs w:val="32"/>
        </w:rPr>
        <w:t>（一）指导思想</w:t>
      </w:r>
    </w:p>
    <w:p>
      <w:pPr>
        <w:pStyle w:val="25"/>
        <w:shd w:val="clear" w:color="auto" w:fill="FFFFFF"/>
        <w:spacing w:before="0" w:beforeAutospacing="0" w:after="0" w:afterAutospacing="0" w:line="560" w:lineRule="exact"/>
        <w:ind w:firstLineChars="200" w:firstLine="640"/>
        <w:jc w:val="both"/>
        <w:rPr>
          <w:rFonts w:ascii="Times New Roman" w:eastAsia="仿宋_GB2312" w:cs="Times New Roman" w:hAnsi="Times New Roman"/>
          <w:sz w:val="32"/>
          <w:szCs w:val="32"/>
        </w:rPr>
      </w:pPr>
      <w:r>
        <w:rPr>
          <w:rFonts w:ascii="Times New Roman" w:eastAsia="仿宋_GB2312" w:cs="Times New Roman" w:hAnsi="Times New Roman"/>
          <w:sz w:val="32"/>
          <w:szCs w:val="32"/>
        </w:rPr>
        <w:t>以习近平新时代中国特色社会主义思想为指导，深入贯彻党的二十大精神，认真落实中央经济工作会议和中央财经委员会第四次会议部署，深入贯彻习近平总书记对北京一系列重要讲话精神，立足服务国家和首都高质量发展大局，遵循绿色低碳发展理念，以促进高质量发展、满足市民日益增长的美好生活需要为根本目的，对标“五宜”朝阳建设目标，紧抓全球数字经济标杆城市建设、国际消费中心城市建设等重大机遇，积极推动设备更新和消费品以旧换新，进一步释放投资消费潜力，促进产业高端化、智能化、绿色化发展，加快发展新质生产力，奋力谱写中国式现代化的朝阳篇章，为新时代首都发展贡献朝阳力量。</w:t>
      </w:r>
    </w:p>
    <w:p>
      <w:pPr>
        <w:pStyle w:val="25"/>
        <w:shd w:val="clear" w:color="auto" w:fill="FFFFFF"/>
        <w:spacing w:before="0" w:beforeAutospacing="0" w:after="0" w:afterAutospacing="0" w:line="560" w:lineRule="exact"/>
        <w:ind w:firstLineChars="200" w:firstLine="640"/>
        <w:jc w:val="both"/>
        <w:rPr>
          <w:rFonts w:ascii="Times New Roman" w:eastAsia="楷体_GB2312" w:cs="Times New Roman" w:hAnsi="Times New Roman"/>
          <w:b/>
          <w:sz w:val="32"/>
          <w:szCs w:val="32"/>
        </w:rPr>
      </w:pPr>
      <w:r>
        <w:rPr>
          <w:rFonts w:ascii="Times New Roman" w:eastAsia="楷体_GB2312" w:cs="Times New Roman" w:hAnsi="Times New Roman"/>
          <w:b/>
          <w:sz w:val="32"/>
          <w:szCs w:val="32"/>
        </w:rPr>
        <w:t>（二）基本原则</w:t>
      </w:r>
    </w:p>
    <w:p>
      <w:pPr>
        <w:pStyle w:val="25"/>
        <w:shd w:val="clear" w:color="auto" w:fill="FFFFFF"/>
        <w:spacing w:before="0" w:beforeAutospacing="0" w:after="0" w:afterAutospacing="0" w:line="560" w:lineRule="exact"/>
        <w:ind w:firstLineChars="200" w:firstLine="640"/>
        <w:jc w:val="both"/>
        <w:rPr>
          <w:rFonts w:ascii="Times New Roman" w:eastAsia="仿宋_GB2312" w:cs="Times New Roman" w:hAnsi="Times New Roman"/>
          <w:sz w:val="32"/>
          <w:szCs w:val="32"/>
        </w:rPr>
      </w:pPr>
      <w:r>
        <w:rPr>
          <w:rFonts w:ascii="Times New Roman" w:eastAsia="仿宋_GB2312" w:cs="Times New Roman" w:hAnsi="Times New Roman"/>
          <w:b/>
          <w:sz w:val="32"/>
          <w:szCs w:val="32"/>
        </w:rPr>
        <w:t>——坚持标准引领、有序提升。</w:t>
      </w:r>
      <w:r>
        <w:rPr>
          <w:rFonts w:ascii="Times New Roman" w:eastAsia="仿宋_GB2312" w:cs="Times New Roman" w:hAnsi="Times New Roman"/>
          <w:sz w:val="32"/>
          <w:szCs w:val="32"/>
        </w:rPr>
        <w:t>积极参与节能降碳、环保、安全、循环利用等领域标准制定，有序推动标准落地实施。按照安全、绿色、智能的原则，建立激励和约束相结合的长效机制，加快淘汰落后产品设备，以科技创新引领现代化产业体系建设，加快高端产业发展。</w:t>
      </w:r>
    </w:p>
    <w:p>
      <w:pPr>
        <w:pStyle w:val="25"/>
        <w:shd w:val="clear" w:color="auto" w:fill="FFFFFF"/>
        <w:spacing w:before="0" w:beforeAutospacing="0" w:after="0" w:afterAutospacing="0" w:line="560" w:lineRule="exact"/>
        <w:ind w:firstLineChars="200" w:firstLine="640"/>
        <w:jc w:val="both"/>
        <w:rPr>
          <w:rFonts w:ascii="Times New Roman" w:eastAsia="仿宋_GB2312" w:cs="Times New Roman" w:hAnsi="Times New Roman"/>
          <w:sz w:val="32"/>
          <w:szCs w:val="32"/>
        </w:rPr>
      </w:pPr>
      <w:r>
        <w:rPr>
          <w:rFonts w:ascii="Times New Roman" w:eastAsia="仿宋_GB2312" w:cs="Times New Roman" w:hAnsi="Times New Roman"/>
          <w:b/>
          <w:sz w:val="32"/>
          <w:szCs w:val="32"/>
        </w:rPr>
        <w:t>——坚持市场为主、政府引导。</w:t>
      </w:r>
      <w:r>
        <w:rPr>
          <w:rFonts w:ascii="Times New Roman" w:eastAsia="仿宋_GB2312" w:cs="Times New Roman" w:hAnsi="Times New Roman"/>
          <w:sz w:val="32"/>
          <w:szCs w:val="32"/>
        </w:rPr>
        <w:t>突出市场在资源配置中的决定性作用，</w:t>
      </w:r>
      <w:r>
        <w:rPr>
          <w:rFonts w:ascii="Times New Roman" w:eastAsia="仿宋_GB2312" w:cs="Times New Roman" w:hAnsi="Times New Roman" w:hint="eastAsia"/>
          <w:sz w:val="32"/>
          <w:szCs w:val="32"/>
        </w:rPr>
        <w:t>更好</w:t>
      </w:r>
      <w:r>
        <w:rPr>
          <w:rFonts w:ascii="Times New Roman" w:eastAsia="仿宋_GB2312" w:cs="Times New Roman" w:hAnsi="Times New Roman"/>
          <w:sz w:val="32"/>
          <w:szCs w:val="32"/>
        </w:rPr>
        <w:t>发挥政府作用，加大投资、财税、金融等政策支持力度，打好政策组合拳，强化科学管理、重视宣传引导，实现有效市场与有为政府良性互动。</w:t>
      </w:r>
    </w:p>
    <w:p>
      <w:pPr>
        <w:pStyle w:val="25"/>
        <w:shd w:val="clear" w:color="auto" w:fill="FFFFFF"/>
        <w:spacing w:before="0" w:beforeAutospacing="0" w:after="0" w:afterAutospacing="0" w:line="560" w:lineRule="exact"/>
        <w:ind w:firstLineChars="200" w:firstLine="640"/>
        <w:jc w:val="both"/>
        <w:rPr>
          <w:rFonts w:ascii="Times New Roman" w:eastAsia="仿宋_GB2312" w:cs="Times New Roman" w:hAnsi="Times New Roman"/>
          <w:sz w:val="32"/>
          <w:szCs w:val="32"/>
        </w:rPr>
      </w:pPr>
      <w:r>
        <w:rPr>
          <w:rFonts w:ascii="Times New Roman" w:eastAsia="仿宋_GB2312" w:cs="Times New Roman" w:hAnsi="Times New Roman"/>
          <w:b/>
          <w:sz w:val="32"/>
          <w:szCs w:val="32"/>
        </w:rPr>
        <w:t>——坚持朝阳特色、问题导向。</w:t>
      </w:r>
      <w:r>
        <w:rPr>
          <w:rFonts w:ascii="Times New Roman" w:eastAsia="仿宋_GB2312" w:cs="Times New Roman" w:hAnsi="Times New Roman"/>
          <w:sz w:val="32"/>
          <w:szCs w:val="32"/>
        </w:rPr>
        <w:t>立足区域产业基础、消费特征，持续推动产品设备优化提升和消费升级。聚焦“12345”接诉即办投诉集中领域、“七有”“五性”要求等，突出补短板、促提升，力争解决一批难点痛点问题。</w:t>
      </w:r>
    </w:p>
    <w:p>
      <w:pPr>
        <w:widowControl/>
        <w:shd w:val="clear" w:color="auto" w:fill="FFFFFF"/>
        <w:spacing w:line="560" w:lineRule="exact"/>
        <w:ind w:firstLineChars="200" w:firstLine="640"/>
        <w:rPr>
          <w:rFonts w:ascii="Times New Roman" w:eastAsia="仿宋_GB2312" w:hAnsi="Times New Roman"/>
          <w:sz w:val="32"/>
          <w:szCs w:val="32"/>
        </w:rPr>
      </w:pPr>
      <w:r>
        <w:rPr>
          <w:rFonts w:ascii="Times New Roman" w:eastAsia="仿宋_GB2312" w:hAnsi="Times New Roman"/>
          <w:b/>
          <w:sz w:val="32"/>
          <w:szCs w:val="32"/>
        </w:rPr>
        <w:t>——坚持优势带动、打造标杆。</w:t>
      </w:r>
      <w:r>
        <w:rPr>
          <w:rFonts w:ascii="Times New Roman" w:eastAsia="仿宋_GB2312" w:hAnsi="Times New Roman"/>
          <w:sz w:val="32"/>
          <w:szCs w:val="32"/>
        </w:rPr>
        <w:t>发挥朝阳区市场体量大、应用场景多的优势，聚焦重点领域提前发力，主动作为、高点定位、超前布局，形成更多标杆性示范性创新性发展成果。</w:t>
      </w:r>
    </w:p>
    <w:p>
      <w:pPr>
        <w:pStyle w:val="25"/>
        <w:shd w:val="clear" w:color="auto" w:fill="FFFFFF"/>
        <w:spacing w:before="0" w:beforeAutospacing="0" w:after="0" w:afterAutospacing="0" w:line="560" w:lineRule="exact"/>
        <w:ind w:firstLineChars="200" w:firstLine="640"/>
        <w:jc w:val="both"/>
        <w:rPr>
          <w:rFonts w:ascii="Times New Roman" w:eastAsia="楷体_GB2312" w:cs="Times New Roman" w:hAnsi="Times New Roman"/>
          <w:b/>
          <w:sz w:val="32"/>
          <w:szCs w:val="32"/>
        </w:rPr>
      </w:pPr>
      <w:r>
        <w:rPr>
          <w:rFonts w:ascii="Times New Roman" w:eastAsia="楷体_GB2312" w:cs="Times New Roman" w:hAnsi="Times New Roman"/>
          <w:b/>
          <w:sz w:val="32"/>
          <w:szCs w:val="32"/>
        </w:rPr>
        <w:t>（三）主要目标</w:t>
      </w:r>
    </w:p>
    <w:p>
      <w:pPr>
        <w:widowControl/>
        <w:shd w:val="clear" w:color="auto" w:fill="FFFFFF"/>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到2027年，全区基础设施安全智能和绿色低碳水平显著提升，</w:t>
      </w:r>
      <w:r>
        <w:rPr>
          <w:rFonts w:ascii="Times New Roman" w:eastAsia="仿宋_GB2312" w:hAnsi="Times New Roman"/>
          <w:sz w:val="32"/>
          <w:szCs w:val="32"/>
        </w:rPr>
        <w:t>新建公共建筑100%达到三星级绿色建筑标准；汽车、家电等耐用消费品更新换代提速，充电设施布局更加完善，新能源汽车占比提升5-8个百分点；产业数字化、绿色化水平明显提升，区内有生产制造环节的规模以上制造业企业实现100%数字化达标，</w:t>
      </w:r>
      <w:r>
        <w:rPr>
          <w:rFonts w:ascii="Times New Roman" w:eastAsia="仿宋_GB2312" w:hAnsi="Times New Roman"/>
          <w:sz w:val="32"/>
          <w:szCs w:val="32"/>
          <w:shd w:val="clear" w:color="auto" w:fill="FFFFFF"/>
        </w:rPr>
        <w:t>北京数字经济算力中心实现1000PFlops算力规模供给</w:t>
      </w:r>
      <w:r>
        <w:rPr>
          <w:rFonts w:ascii="Times New Roman" w:eastAsia="仿宋_GB2312" w:hAnsi="Times New Roman"/>
          <w:sz w:val="32"/>
          <w:szCs w:val="32"/>
        </w:rPr>
        <w:t>；废旧物资回收利用体系更加健全，生活垃圾回收利用率达到40%以上，</w:t>
      </w:r>
      <w:r>
        <w:rPr>
          <w:rFonts w:ascii="Times New Roman" w:eastAsia="仿宋_GB2312" w:hAnsi="Times New Roman"/>
          <w:bCs/>
          <w:kern w:val="0"/>
          <w:sz w:val="32"/>
          <w:szCs w:val="32"/>
        </w:rPr>
        <w:t>更好融入国民经济循环体系，为首都高质量发展</w:t>
      </w:r>
      <w:r>
        <w:rPr>
          <w:rFonts w:ascii="Times New Roman" w:eastAsia="仿宋_GB2312" w:hAnsi="Times New Roman" w:hint="eastAsia"/>
          <w:bCs/>
          <w:kern w:val="0"/>
          <w:sz w:val="32"/>
          <w:szCs w:val="32"/>
        </w:rPr>
        <w:t>作</w:t>
      </w:r>
      <w:r>
        <w:rPr>
          <w:rFonts w:ascii="Times New Roman" w:eastAsia="仿宋_GB2312" w:hAnsi="Times New Roman"/>
          <w:bCs/>
          <w:kern w:val="0"/>
          <w:sz w:val="32"/>
          <w:szCs w:val="32"/>
        </w:rPr>
        <w:t>出更大贡献。</w:t>
      </w:r>
    </w:p>
    <w:p>
      <w:pPr>
        <w:pStyle w:val="25"/>
        <w:shd w:val="clear" w:color="auto" w:fill="FFFFFF"/>
        <w:spacing w:before="0" w:beforeAutospacing="0" w:after="0" w:afterAutospacing="0" w:line="560" w:lineRule="exact"/>
        <w:ind w:firstLineChars="200" w:firstLine="640"/>
        <w:jc w:val="both"/>
        <w:rPr>
          <w:rFonts w:ascii="Times New Roman" w:eastAsia="黑体" w:cs="Times New Roman" w:hAnsi="Times New Roman"/>
          <w:bCs w:val="0"/>
          <w:kern w:val="2"/>
          <w:sz w:val="32"/>
          <w:szCs w:val="32"/>
          <w:shd w:val="clear" w:color="auto" w:fill="FFFFFF"/>
        </w:rPr>
      </w:pPr>
      <w:r>
        <w:rPr>
          <w:rFonts w:ascii="Times New Roman" w:eastAsia="黑体" w:cs="Times New Roman" w:hAnsi="Times New Roman"/>
          <w:bCs w:val="0"/>
          <w:kern w:val="2"/>
          <w:sz w:val="32"/>
          <w:szCs w:val="32"/>
          <w:shd w:val="clear" w:color="auto" w:fill="FFFFFF"/>
        </w:rPr>
        <w:t>二、重点工作任务</w:t>
      </w:r>
    </w:p>
    <w:p>
      <w:pPr>
        <w:widowControl/>
        <w:shd w:val="clear" w:color="auto" w:fill="FFFFFF"/>
        <w:spacing w:line="560" w:lineRule="exact"/>
        <w:ind w:firstLineChars="200" w:firstLine="640"/>
        <w:rPr>
          <w:rFonts w:ascii="Times New Roman" w:eastAsia="仿宋_GB2312" w:hAnsi="Times New Roman"/>
          <w:bCs/>
          <w:kern w:val="0"/>
          <w:sz w:val="32"/>
          <w:szCs w:val="32"/>
        </w:rPr>
      </w:pPr>
      <w:r>
        <w:rPr>
          <w:rFonts w:ascii="Times New Roman" w:eastAsia="楷体_GB2312" w:hAnsi="Times New Roman"/>
          <w:b/>
          <w:sz w:val="32"/>
          <w:szCs w:val="32"/>
        </w:rPr>
        <w:t>（一）数字经济领域</w:t>
      </w:r>
    </w:p>
    <w:p>
      <w:pPr>
        <w:adjustRightInd w:val="0"/>
        <w:snapToGrid w:val="0"/>
        <w:spacing w:line="560" w:lineRule="exact"/>
        <w:ind w:firstLineChars="200" w:firstLine="640"/>
        <w:rPr>
          <w:rFonts w:ascii="Times New Roman" w:eastAsia="楷体_GB2312" w:hAnsi="Times New Roman"/>
          <w:sz w:val="32"/>
          <w:szCs w:val="32"/>
          <w:shd w:val="clear" w:color="auto" w:fill="FFFFFF"/>
        </w:rPr>
      </w:pPr>
      <w:r>
        <w:rPr>
          <w:rFonts w:ascii="Times New Roman" w:eastAsia="仿宋_GB2312" w:hAnsi="Times New Roman"/>
          <w:b/>
          <w:bCs/>
          <w:sz w:val="32"/>
          <w:szCs w:val="32"/>
          <w:shd w:val="clear" w:color="auto" w:fill="FFFFFF"/>
        </w:rPr>
        <w:t>1.推进制造业企业数字化改造。</w:t>
      </w:r>
      <w:r>
        <w:rPr>
          <w:rFonts w:ascii="Times New Roman" w:eastAsia="仿宋_GB2312" w:hAnsi="Times New Roman"/>
          <w:sz w:val="32"/>
          <w:szCs w:val="32"/>
          <w:shd w:val="clear" w:color="auto" w:fill="FFFFFF"/>
        </w:rPr>
        <w:t>谋划朝阳区新型工业化发展方向，以发展战略性新兴产业和培育未来产业为重点，推动数字技术与实体经济深度融合。积极推进数字化、智能化标准体系贯标，开展规模以上制造业企业数字化、智能化转型评估，推动区内有生产制造环节的规模以上制造业企业全面实现数字化达标。</w:t>
      </w:r>
      <w:r>
        <w:rPr>
          <w:rFonts w:ascii="Times New Roman" w:eastAsia="楷体_GB2312" w:hAnsi="Times New Roman"/>
          <w:sz w:val="32"/>
          <w:szCs w:val="32"/>
          <w:shd w:val="clear" w:color="auto" w:fill="FFFFFF"/>
        </w:rPr>
        <w:t>（责任单位：朝阳园管委会区科学技术和信息化局、区财政局</w:t>
      </w:r>
      <w:r>
        <w:rPr>
          <w:rFonts w:ascii="Times New Roman" w:eastAsia="楷体_GB2312" w:hAnsi="Times New Roman" w:hint="eastAsia"/>
          <w:sz w:val="32"/>
          <w:szCs w:val="32"/>
          <w:shd w:val="clear" w:color="auto" w:fill="FFFFFF"/>
        </w:rPr>
        <w:t>；各</w:t>
      </w:r>
      <w:r>
        <w:rPr>
          <w:rFonts w:ascii="Times New Roman" w:eastAsia="楷体_GB2312" w:hAnsi="Times New Roman"/>
          <w:sz w:val="32"/>
          <w:szCs w:val="32"/>
          <w:shd w:val="clear" w:color="auto" w:fill="FFFFFF"/>
        </w:rPr>
        <w:t>责任单位按职责分工负责，下同）</w:t>
      </w:r>
    </w:p>
    <w:p>
      <w:pPr>
        <w:adjustRightInd w:val="0"/>
        <w:snapToGrid w:val="0"/>
        <w:spacing w:line="560" w:lineRule="exact"/>
        <w:ind w:firstLineChars="200" w:firstLine="640"/>
        <w:rPr>
          <w:rFonts w:ascii="Times New Roman" w:eastAsia="楷体_GB2312" w:hAnsi="Times New Roman"/>
          <w:sz w:val="32"/>
          <w:szCs w:val="32"/>
          <w:shd w:val="clear" w:color="auto" w:fill="FFFFFF"/>
        </w:rPr>
      </w:pPr>
      <w:r>
        <w:rPr>
          <w:rFonts w:ascii="Times New Roman" w:eastAsia="仿宋_GB2312" w:hAnsi="Times New Roman"/>
          <w:b/>
          <w:bCs/>
          <w:sz w:val="32"/>
          <w:szCs w:val="32"/>
          <w:shd w:val="clear" w:color="auto" w:fill="FFFFFF"/>
        </w:rPr>
        <w:t>2.强化数字经济基础设施建设。</w:t>
      </w:r>
      <w:r>
        <w:rPr>
          <w:rFonts w:ascii="Times New Roman" w:eastAsia="仿宋_GB2312" w:hAnsi="Times New Roman"/>
          <w:sz w:val="32"/>
          <w:szCs w:val="32"/>
          <w:shd w:val="clear" w:color="auto" w:fill="FFFFFF"/>
        </w:rPr>
        <w:t>推动北京数字经济核心区建设，落实国家数据基础制度，提升北京国际大数据交易所能级，基本完成北京数字经济算力中心基础设施建设。积极推动存量数据中心改造升级，对超出国家和北京市PUE限定值标准的低效数据中心，加大节能监察和督促整改力度。鼓励将存储型数据中心替换为计算型数据中心，运用液冷、分布式供电、模块化机房等手段开展绿色化改造，进一步提升区域数据中心整体计算能力和绿色水平。</w:t>
      </w:r>
      <w:r>
        <w:rPr>
          <w:rFonts w:ascii="Times New Roman" w:eastAsia="楷体_GB2312" w:hAnsi="Times New Roman"/>
          <w:sz w:val="32"/>
          <w:szCs w:val="32"/>
          <w:shd w:val="clear" w:color="auto" w:fill="FFFFFF"/>
        </w:rPr>
        <w:t>（责任单位：朝阳园管委会区科学技术和信息化局、区数据局、区发展改革委、区财政局）</w:t>
      </w:r>
    </w:p>
    <w:p>
      <w:pPr>
        <w:widowControl/>
        <w:shd w:val="clear" w:color="auto" w:fill="FFFFFF"/>
        <w:spacing w:line="560" w:lineRule="exact"/>
        <w:ind w:firstLineChars="200" w:firstLine="640"/>
        <w:rPr>
          <w:rFonts w:ascii="Times New Roman" w:eastAsia="楷体_GB2312" w:hAnsi="Times New Roman"/>
          <w:b/>
          <w:sz w:val="32"/>
          <w:szCs w:val="32"/>
        </w:rPr>
      </w:pPr>
      <w:r>
        <w:rPr>
          <w:rFonts w:ascii="Times New Roman" w:eastAsia="楷体_GB2312" w:hAnsi="Times New Roman"/>
          <w:b/>
          <w:sz w:val="32"/>
          <w:szCs w:val="32"/>
        </w:rPr>
        <w:t>（二）文化发展领域</w:t>
      </w:r>
    </w:p>
    <w:p>
      <w:pPr>
        <w:widowControl/>
        <w:shd w:val="clear" w:color="auto" w:fill="FFFFFF"/>
        <w:spacing w:line="560" w:lineRule="exact"/>
        <w:ind w:firstLineChars="200" w:firstLine="640"/>
        <w:rPr>
          <w:rFonts w:ascii="Times New Roman" w:eastAsia="仿宋_GB2312" w:hAnsi="Times New Roman"/>
          <w:bCs/>
          <w:kern w:val="0"/>
          <w:sz w:val="32"/>
          <w:szCs w:val="32"/>
          <w:shd w:val="clear" w:color="auto" w:fill="FFFFFF"/>
        </w:rPr>
      </w:pPr>
      <w:r>
        <w:rPr>
          <w:rFonts w:ascii="Times New Roman" w:eastAsia="仿宋_GB2312" w:hAnsi="Times New Roman"/>
          <w:b/>
          <w:bCs/>
          <w:sz w:val="32"/>
          <w:szCs w:val="32"/>
          <w:shd w:val="clear" w:color="auto" w:fill="FFFFFF"/>
        </w:rPr>
        <w:t>3.推进文旅设施设备更新提升。</w:t>
      </w:r>
      <w:r>
        <w:rPr>
          <w:rFonts w:ascii="Times New Roman" w:eastAsia="仿宋_GB2312" w:hAnsi="Times New Roman"/>
          <w:bCs/>
          <w:kern w:val="0"/>
          <w:sz w:val="32"/>
          <w:szCs w:val="32"/>
          <w:lang w:val="zh-CN"/>
        </w:rPr>
        <w:t>加快公共文化服务数字化建设，</w:t>
      </w:r>
      <w:r>
        <w:rPr>
          <w:rFonts w:ascii="Times New Roman" w:eastAsia="仿宋_GB2312" w:hAnsi="Times New Roman"/>
          <w:kern w:val="0"/>
          <w:sz w:val="32"/>
          <w:szCs w:val="32"/>
        </w:rPr>
        <w:t>推出精品数字图书馆、有声图书等智能化服务设施，实现自助图书馆与“预约借阅，免费送书上门服务”有机融合、全域覆盖。</w:t>
      </w:r>
      <w:r>
        <w:rPr>
          <w:rFonts w:ascii="Times New Roman" w:eastAsia="仿宋_GB2312" w:hAnsi="Times New Roman"/>
          <w:bCs/>
          <w:sz w:val="32"/>
          <w:szCs w:val="32"/>
        </w:rPr>
        <w:t>培育“博物馆+”文博经济，打造“场景+技术+内容”新文博文创模式，形成“博物馆之城”建设的“朝阳范式”。</w:t>
      </w:r>
      <w:r>
        <w:rPr>
          <w:rFonts w:ascii="Times New Roman" w:eastAsia="仿宋_GB2312" w:hAnsi="Times New Roman"/>
          <w:bCs/>
          <w:kern w:val="0"/>
          <w:sz w:val="32"/>
          <w:szCs w:val="32"/>
        </w:rPr>
        <w:t>促进数字旅游发展，运用VR、AR等技术提供个性化智能旅游服务，培育基于数字内容的新型文旅消费业态。</w:t>
      </w:r>
      <w:r>
        <w:rPr>
          <w:rFonts w:ascii="Times New Roman" w:eastAsia="仿宋_GB2312" w:hAnsi="Times New Roman"/>
          <w:bCs/>
          <w:kern w:val="0"/>
          <w:sz w:val="32"/>
          <w:szCs w:val="32"/>
          <w:shd w:val="clear" w:color="auto" w:fill="FFFFFF"/>
        </w:rPr>
        <w:t>推进重点景区内游乐设备更新提升，改善消费体验。推动全区体育场地设施升级改造，更新智慧化健身设施，构建更高水平的公共体育服务体系。</w:t>
      </w:r>
      <w:r>
        <w:rPr>
          <w:rFonts w:ascii="Times New Roman" w:eastAsia="楷体_GB2312" w:hAnsi="Times New Roman"/>
          <w:bCs/>
          <w:kern w:val="0"/>
          <w:sz w:val="32"/>
          <w:szCs w:val="32"/>
          <w:shd w:val="clear" w:color="auto" w:fill="FFFFFF"/>
        </w:rPr>
        <w:t>（责任单位：区文化和旅游局、区体育局、区</w:t>
      </w:r>
      <w:r>
        <w:rPr>
          <w:rFonts w:ascii="Times New Roman" w:eastAsia="楷体_GB2312" w:hAnsi="Times New Roman"/>
          <w:kern w:val="0"/>
          <w:sz w:val="32"/>
          <w:szCs w:val="32"/>
          <w:shd w:val="clear" w:color="auto" w:fill="FFFFFF"/>
        </w:rPr>
        <w:t>国资委、</w:t>
      </w:r>
      <w:r>
        <w:rPr>
          <w:rFonts w:ascii="Times New Roman" w:eastAsia="楷体_GB2312" w:hAnsi="Times New Roman"/>
          <w:bCs/>
          <w:kern w:val="0"/>
          <w:sz w:val="32"/>
          <w:szCs w:val="32"/>
          <w:shd w:val="clear" w:color="auto" w:fill="FFFFFF"/>
        </w:rPr>
        <w:t>区财政局）</w:t>
      </w:r>
    </w:p>
    <w:p>
      <w:pPr>
        <w:widowControl/>
        <w:shd w:val="clear" w:color="auto" w:fill="FFFFFF"/>
        <w:spacing w:line="560" w:lineRule="exact"/>
        <w:ind w:firstLineChars="200" w:firstLine="640"/>
        <w:rPr>
          <w:rFonts w:ascii="Times New Roman" w:eastAsia="楷体_GB2312" w:hAnsi="Times New Roman"/>
          <w:b/>
          <w:sz w:val="32"/>
          <w:szCs w:val="32"/>
        </w:rPr>
      </w:pPr>
      <w:r>
        <w:rPr>
          <w:rFonts w:ascii="Times New Roman" w:eastAsia="楷体_GB2312" w:hAnsi="Times New Roman"/>
          <w:b/>
          <w:sz w:val="32"/>
          <w:szCs w:val="32"/>
        </w:rPr>
        <w:t>（三）消费品以旧换新领域</w:t>
      </w:r>
    </w:p>
    <w:p>
      <w:pPr>
        <w:adjustRightInd w:val="0"/>
        <w:snapToGrid w:val="0"/>
        <w:spacing w:line="560" w:lineRule="exact"/>
        <w:ind w:firstLineChars="200" w:firstLine="640"/>
        <w:rPr>
          <w:rFonts w:ascii="Times New Roman" w:eastAsia="楷体_GB2312" w:hAnsi="Times New Roman"/>
          <w:sz w:val="32"/>
          <w:szCs w:val="32"/>
          <w:shd w:val="clear" w:color="auto" w:fill="FFFFFF"/>
        </w:rPr>
      </w:pPr>
      <w:bookmarkStart w:id="1" w:name="_Hlk161737411"/>
      <w:r>
        <w:rPr>
          <w:rFonts w:ascii="Times New Roman" w:eastAsia="仿宋_GB2312" w:hAnsi="Times New Roman"/>
          <w:b/>
          <w:bCs/>
          <w:sz w:val="32"/>
          <w:szCs w:val="32"/>
          <w:shd w:val="clear" w:color="auto" w:fill="FFFFFF"/>
        </w:rPr>
        <w:t>4.加大汽车以旧换新支持力度。</w:t>
      </w:r>
      <w:r>
        <w:rPr>
          <w:rFonts w:ascii="Times New Roman" w:eastAsia="仿宋_GB2312" w:hAnsi="Times New Roman"/>
          <w:bCs/>
          <w:kern w:val="0"/>
          <w:sz w:val="32"/>
          <w:szCs w:val="32"/>
        </w:rPr>
        <w:t>鼓励企业积极</w:t>
      </w:r>
      <w:r>
        <w:rPr>
          <w:rFonts w:ascii="Times New Roman" w:eastAsia="仿宋_GB2312" w:hAnsi="Times New Roman" w:hint="eastAsia"/>
          <w:bCs/>
          <w:kern w:val="0"/>
          <w:sz w:val="32"/>
          <w:szCs w:val="32"/>
        </w:rPr>
        <w:t>申报国家汽车以旧换新补贴政策</w:t>
      </w:r>
      <w:r>
        <w:rPr>
          <w:rFonts w:ascii="Times New Roman" w:eastAsia="仿宋_GB2312" w:hAnsi="Times New Roman"/>
          <w:bCs/>
          <w:kern w:val="0"/>
          <w:sz w:val="32"/>
          <w:szCs w:val="32"/>
        </w:rPr>
        <w:t>。研究朝阳区汽车促消费政策，发放汽车消费券，促进汽车更新消费。</w:t>
      </w:r>
      <w:r>
        <w:rPr>
          <w:rFonts w:ascii="Times New Roman" w:eastAsia="仿宋_GB2312" w:hAnsi="Times New Roman"/>
          <w:color w:val="000000"/>
          <w:sz w:val="32"/>
          <w:szCs w:val="32"/>
          <w:shd w:val="clear" w:color="auto" w:fill="FFFFFF"/>
        </w:rPr>
        <w:t>组织开展新能源汽车展销活动，引导汽车销售企业通过置换补贴、增值服务等方式，给予新能源汽车购置更多优惠</w:t>
      </w:r>
      <w:r>
        <w:rPr>
          <w:rFonts w:ascii="Times New Roman" w:eastAsia="仿宋_GB2312" w:hAnsi="Times New Roman"/>
          <w:sz w:val="32"/>
          <w:szCs w:val="32"/>
          <w:shd w:val="clear" w:color="auto" w:fill="FFFFFF"/>
        </w:rPr>
        <w:t>。</w:t>
      </w:r>
      <w:r>
        <w:rPr>
          <w:rFonts w:ascii="Times New Roman" w:eastAsia="仿宋_GB2312" w:hAnsi="Times New Roman"/>
          <w:bCs/>
          <w:kern w:val="0"/>
          <w:sz w:val="32"/>
          <w:szCs w:val="32"/>
        </w:rPr>
        <w:t>持续推动二手车销售企业“经纪转经销”，鼓励汽车更新置换，拉动二手车交易规模增长。</w:t>
      </w:r>
      <w:r>
        <w:rPr>
          <w:rFonts w:ascii="Times New Roman" w:eastAsia="楷体_GB2312" w:hAnsi="Times New Roman"/>
          <w:sz w:val="32"/>
          <w:szCs w:val="32"/>
          <w:shd w:val="clear" w:color="auto" w:fill="FFFFFF"/>
        </w:rPr>
        <w:t>（责任单位：区商务局、区发展改革委、区财政局）</w:t>
      </w:r>
    </w:p>
    <w:p>
      <w:pPr>
        <w:adjustRightInd w:val="0"/>
        <w:snapToGrid w:val="0"/>
        <w:spacing w:line="560" w:lineRule="exact"/>
        <w:ind w:firstLineChars="200" w:firstLine="640"/>
        <w:rPr>
          <w:rFonts w:ascii="Times New Roman" w:eastAsia="仿宋_GB2312" w:hAnsi="Times New Roman"/>
          <w:sz w:val="32"/>
          <w:szCs w:val="32"/>
          <w:shd w:val="clear" w:color="auto" w:fill="FFFFFF"/>
        </w:rPr>
      </w:pPr>
      <w:r>
        <w:rPr>
          <w:rFonts w:ascii="Times New Roman" w:eastAsia="仿宋_GB2312" w:hAnsi="Times New Roman"/>
          <w:b/>
          <w:bCs/>
          <w:sz w:val="32"/>
          <w:szCs w:val="32"/>
          <w:shd w:val="clear" w:color="auto" w:fill="FFFFFF"/>
        </w:rPr>
        <w:t>5.开展绿色智能家电以旧换新。</w:t>
      </w:r>
      <w:r>
        <w:rPr>
          <w:rFonts w:ascii="Times New Roman" w:eastAsia="仿宋_GB2312" w:hAnsi="Times New Roman"/>
          <w:sz w:val="32"/>
          <w:szCs w:val="32"/>
          <w:shd w:val="clear" w:color="auto" w:fill="FFFFFF"/>
        </w:rPr>
        <w:t>采取居民主体、平台配资、金融助力、政府支持及鼓励企业让利相结合的方式，以安全、绿色、智能为导向，以新产品壮大新消费，以新消费催生新产品。广泛动员行业协会、家居卖场、家装企业、电商平台、金融机构、媒体等各方积极参与，线上线下联动，开展智能家电消费季、家居消费焕新季等促消费活动，鼓励推出智能绿色家电产品升级“套餐”。</w:t>
      </w:r>
      <w:r>
        <w:rPr>
          <w:rFonts w:ascii="Times New Roman" w:eastAsia="楷体_GB2312" w:hAnsi="Times New Roman"/>
          <w:color w:val="000000"/>
          <w:sz w:val="32"/>
          <w:szCs w:val="32"/>
          <w:shd w:val="clear" w:color="auto" w:fill="FFFFFF"/>
        </w:rPr>
        <w:t>（责任单位：</w:t>
      </w:r>
      <w:r>
        <w:rPr>
          <w:rFonts w:ascii="Times New Roman" w:eastAsia="楷体_GB2312" w:hAnsi="Times New Roman"/>
          <w:sz w:val="32"/>
          <w:szCs w:val="32"/>
          <w:shd w:val="clear" w:color="auto" w:fill="FFFFFF"/>
        </w:rPr>
        <w:t>区商务局、区发展改革委、区财政局）</w:t>
      </w:r>
    </w:p>
    <w:p>
      <w:pPr>
        <w:adjustRightInd w:val="0"/>
        <w:snapToGrid w:val="0"/>
        <w:spacing w:line="560" w:lineRule="exact"/>
        <w:ind w:firstLineChars="200" w:firstLine="640"/>
        <w:rPr>
          <w:rFonts w:ascii="Times New Roman" w:eastAsia="楷体_GB2312" w:hAnsi="Times New Roman"/>
          <w:color w:val="000000"/>
          <w:sz w:val="32"/>
          <w:szCs w:val="32"/>
          <w:shd w:val="clear" w:color="auto" w:fill="FFFFFF"/>
        </w:rPr>
      </w:pPr>
      <w:r>
        <w:rPr>
          <w:rFonts w:ascii="Times New Roman" w:eastAsia="仿宋_GB2312" w:hAnsi="Times New Roman"/>
          <w:b/>
          <w:bCs/>
          <w:sz w:val="32"/>
          <w:szCs w:val="32"/>
          <w:shd w:val="clear" w:color="auto" w:fill="FFFFFF"/>
        </w:rPr>
        <w:t>6.积极推进家装消费品以旧换新。</w:t>
      </w:r>
      <w:r>
        <w:rPr>
          <w:rFonts w:ascii="Times New Roman" w:eastAsia="仿宋_GB2312" w:hAnsi="Times New Roman"/>
          <w:color w:val="000000"/>
          <w:sz w:val="32"/>
          <w:szCs w:val="32"/>
          <w:shd w:val="clear" w:color="auto" w:fill="FFFFFF"/>
        </w:rPr>
        <w:t>支持居民旧房装修、厨卫、门窗等局部改造。支持企业创新升级集家装、家居、家电与全屋智能业态相融合，多元化产品展示、个性化设计服务、装修施工服务与售后服务于一体的消费场景，</w:t>
      </w:r>
      <w:r>
        <w:rPr>
          <w:rFonts w:ascii="Times New Roman" w:eastAsia="仿宋_GB2312" w:hAnsi="Times New Roman"/>
          <w:sz w:val="32"/>
          <w:szCs w:val="32"/>
          <w:shd w:val="clear" w:color="auto" w:fill="FFFFFF"/>
        </w:rPr>
        <w:t>推出整套全屋智能家居产品，满足多样化家居时尚消费需求。</w:t>
      </w:r>
      <w:r>
        <w:rPr>
          <w:rFonts w:ascii="Times New Roman" w:eastAsia="楷体_GB2312" w:hAnsi="Times New Roman"/>
          <w:color w:val="000000"/>
          <w:sz w:val="32"/>
          <w:szCs w:val="32"/>
          <w:shd w:val="clear" w:color="auto" w:fill="FFFFFF"/>
        </w:rPr>
        <w:t>（责任单位：区房屋管理局、区商务局、区财政局）</w:t>
      </w:r>
      <w:bookmarkEnd w:id="1"/>
    </w:p>
    <w:p>
      <w:pPr>
        <w:widowControl/>
        <w:shd w:val="clear" w:color="auto" w:fill="FFFFFF"/>
        <w:spacing w:line="560" w:lineRule="exact"/>
        <w:ind w:firstLineChars="200" w:firstLine="640"/>
        <w:rPr>
          <w:rFonts w:ascii="Times New Roman" w:eastAsia="楷体_GB2312" w:hAnsi="Times New Roman"/>
          <w:b/>
          <w:sz w:val="32"/>
          <w:szCs w:val="32"/>
        </w:rPr>
      </w:pPr>
      <w:r>
        <w:rPr>
          <w:rFonts w:ascii="Times New Roman" w:eastAsia="楷体_GB2312" w:hAnsi="Times New Roman"/>
          <w:b/>
          <w:sz w:val="32"/>
          <w:szCs w:val="32"/>
        </w:rPr>
        <w:t>（四）生态环境领域</w:t>
      </w:r>
    </w:p>
    <w:p>
      <w:pPr>
        <w:adjustRightInd w:val="0"/>
        <w:snapToGrid w:val="0"/>
        <w:spacing w:line="560" w:lineRule="exact"/>
        <w:ind w:firstLineChars="200" w:firstLine="640"/>
        <w:rPr>
          <w:rFonts w:ascii="Times New Roman" w:eastAsia="仿宋_GB2312" w:hAnsi="Times New Roman"/>
          <w:b/>
          <w:sz w:val="32"/>
          <w:szCs w:val="32"/>
          <w:shd w:val="clear" w:color="auto" w:fill="FFFFFF"/>
        </w:rPr>
      </w:pPr>
      <w:r>
        <w:rPr>
          <w:rFonts w:ascii="Times New Roman" w:eastAsia="仿宋_GB2312" w:hAnsi="Times New Roman"/>
          <w:b/>
          <w:bCs/>
          <w:sz w:val="32"/>
          <w:szCs w:val="32"/>
          <w:shd w:val="clear" w:color="auto" w:fill="FFFFFF"/>
        </w:rPr>
        <w:t>7.推动绿化景观设备更新。</w:t>
      </w:r>
      <w:r>
        <w:rPr>
          <w:rFonts w:ascii="Times New Roman" w:eastAsia="仿宋_GB2312" w:hAnsi="Times New Roman"/>
          <w:sz w:val="32"/>
          <w:szCs w:val="32"/>
          <w:shd w:val="clear" w:color="auto" w:fill="FFFFFF"/>
        </w:rPr>
        <w:t>结合花园城市建设，实施重点区域公园照明设施更新。</w:t>
      </w:r>
      <w:r>
        <w:rPr>
          <w:rFonts w:ascii="Times New Roman" w:eastAsia="仿宋_GB2312" w:hAnsi="Times New Roman"/>
          <w:sz w:val="32"/>
          <w:szCs w:val="32"/>
        </w:rPr>
        <w:t>完善大中小微公园体系，在东部、南部区域持续推进超过200公顷的高品质超大公园建设，完成温榆河公园朝阳段二期、平房乡朝平公园主体建设。对四得公园二期、日坛公园、庆丰公园、西坝河绿地等实施全龄友好改造提升，推动海棠公园、东风公园、杜仲公园一期等6个绿隔公园品质提升，进一步完善各类基础设施，强化生态服务功能，不断提升公园开放式管理水平。</w:t>
      </w:r>
      <w:r>
        <w:rPr>
          <w:rFonts w:ascii="Times New Roman" w:eastAsia="楷体_GB2312" w:hAnsi="Times New Roman"/>
          <w:sz w:val="32"/>
          <w:szCs w:val="32"/>
          <w:shd w:val="clear" w:color="auto" w:fill="FFFFFF"/>
        </w:rPr>
        <w:t>（责任单位：区园林绿化局、区国资委、区发展改革委、区财政局）</w:t>
      </w:r>
    </w:p>
    <w:p>
      <w:pPr>
        <w:widowControl/>
        <w:shd w:val="clear" w:color="auto" w:fill="FFFFFF"/>
        <w:spacing w:line="560" w:lineRule="exact"/>
        <w:ind w:firstLineChars="200" w:firstLine="640"/>
        <w:rPr>
          <w:rFonts w:ascii="Times New Roman" w:eastAsia="楷体_GB2312" w:hAnsi="Times New Roman"/>
          <w:sz w:val="32"/>
          <w:szCs w:val="32"/>
          <w:shd w:val="clear" w:color="auto" w:fill="FFFFFF"/>
        </w:rPr>
      </w:pPr>
      <w:r>
        <w:rPr>
          <w:rFonts w:ascii="Times New Roman" w:eastAsia="仿宋_GB2312" w:hAnsi="Times New Roman"/>
          <w:b/>
          <w:bCs/>
          <w:sz w:val="32"/>
          <w:szCs w:val="32"/>
          <w:shd w:val="clear" w:color="auto" w:fill="FFFFFF"/>
        </w:rPr>
        <w:t>8.鼓励支持客货运车辆、工程机械更新。</w:t>
      </w:r>
      <w:r>
        <w:rPr>
          <w:rFonts w:ascii="Times New Roman" w:eastAsia="仿宋_GB2312" w:hAnsi="Times New Roman"/>
          <w:sz w:val="32"/>
          <w:szCs w:val="32"/>
          <w:shd w:val="clear" w:color="auto" w:fill="FFFFFF"/>
        </w:rPr>
        <w:t>大力推动燃油中重型车辆更新，助力大气环境质量改善。严格执行机动车强制报废规定和车辆安全环保检验标准，依法依规淘汰符合强制报废标准的老旧机动车。加快推动国四及以下营运类柴油货车、渣土运输车、混凝土运输车淘汰及电动化更新。分类推进非道路移动机械电动化。鼓励老旧重型卡车等更新为氢燃料电池车。鼓励老旧工程机械有序更新。</w:t>
      </w:r>
      <w:r>
        <w:rPr>
          <w:rFonts w:ascii="Times New Roman" w:eastAsia="楷体_GB2312" w:hAnsi="Times New Roman"/>
          <w:sz w:val="32"/>
          <w:szCs w:val="32"/>
          <w:shd w:val="clear" w:color="auto" w:fill="FFFFFF"/>
        </w:rPr>
        <w:t>（责任单位：</w:t>
      </w:r>
      <w:r>
        <w:rPr>
          <w:rFonts w:ascii="Times New Roman" w:eastAsia="楷体_GB2312" w:hAnsi="Times New Roman"/>
          <w:bCs/>
          <w:kern w:val="0"/>
          <w:sz w:val="32"/>
          <w:szCs w:val="32"/>
          <w:shd w:val="clear" w:color="auto" w:fill="FFFFFF"/>
        </w:rPr>
        <w:t>区</w:t>
      </w:r>
      <w:r>
        <w:rPr>
          <w:rFonts w:ascii="Times New Roman" w:eastAsia="楷体_GB2312" w:hAnsi="Times New Roman"/>
          <w:sz w:val="32"/>
          <w:szCs w:val="32"/>
          <w:shd w:val="clear" w:color="auto" w:fill="FFFFFF"/>
        </w:rPr>
        <w:t>生态环境局、</w:t>
      </w:r>
      <w:r>
        <w:rPr>
          <w:rFonts w:ascii="Times New Roman" w:eastAsia="楷体_GB2312" w:hAnsi="Times New Roman"/>
          <w:bCs/>
          <w:kern w:val="0"/>
          <w:sz w:val="32"/>
          <w:szCs w:val="32"/>
          <w:shd w:val="clear" w:color="auto" w:fill="FFFFFF"/>
        </w:rPr>
        <w:t>区</w:t>
      </w:r>
      <w:r>
        <w:rPr>
          <w:rFonts w:ascii="Times New Roman" w:eastAsia="楷体_GB2312" w:hAnsi="Times New Roman"/>
          <w:sz w:val="32"/>
          <w:szCs w:val="32"/>
          <w:shd w:val="clear" w:color="auto" w:fill="FFFFFF"/>
        </w:rPr>
        <w:t>交通委、</w:t>
      </w:r>
      <w:r>
        <w:rPr>
          <w:rFonts w:ascii="Times New Roman" w:eastAsia="楷体_GB2312" w:hAnsi="Times New Roman"/>
          <w:bCs/>
          <w:kern w:val="0"/>
          <w:sz w:val="32"/>
          <w:szCs w:val="32"/>
          <w:shd w:val="clear" w:color="auto" w:fill="FFFFFF"/>
        </w:rPr>
        <w:t>区</w:t>
      </w:r>
      <w:r>
        <w:rPr>
          <w:rFonts w:ascii="Times New Roman" w:eastAsia="楷体_GB2312" w:hAnsi="Times New Roman"/>
          <w:sz w:val="32"/>
          <w:szCs w:val="32"/>
          <w:shd w:val="clear" w:color="auto" w:fill="FFFFFF"/>
        </w:rPr>
        <w:t>住房城乡建设委、</w:t>
      </w:r>
      <w:r>
        <w:rPr>
          <w:rFonts w:ascii="Times New Roman" w:eastAsia="楷体_GB2312" w:hAnsi="Times New Roman"/>
          <w:bCs/>
          <w:kern w:val="0"/>
          <w:sz w:val="32"/>
          <w:szCs w:val="32"/>
          <w:shd w:val="clear" w:color="auto" w:fill="FFFFFF"/>
        </w:rPr>
        <w:t>区</w:t>
      </w:r>
      <w:r>
        <w:rPr>
          <w:rFonts w:ascii="Times New Roman" w:eastAsia="楷体_GB2312" w:hAnsi="Times New Roman"/>
          <w:sz w:val="32"/>
          <w:szCs w:val="32"/>
          <w:shd w:val="clear" w:color="auto" w:fill="FFFFFF"/>
        </w:rPr>
        <w:t>财政局）</w:t>
      </w:r>
    </w:p>
    <w:p>
      <w:pPr>
        <w:adjustRightInd w:val="0"/>
        <w:snapToGrid w:val="0"/>
        <w:spacing w:line="560" w:lineRule="exact"/>
        <w:ind w:firstLineChars="200" w:firstLine="640"/>
        <w:rPr>
          <w:rFonts w:ascii="Times New Roman" w:eastAsia="仿宋_GB2312" w:hAnsi="Times New Roman"/>
          <w:sz w:val="32"/>
          <w:szCs w:val="32"/>
          <w:shd w:val="clear" w:color="auto" w:fill="FFFFFF"/>
        </w:rPr>
      </w:pPr>
      <w:r>
        <w:rPr>
          <w:rFonts w:ascii="Times New Roman" w:eastAsia="仿宋_GB2312" w:hAnsi="Times New Roman"/>
          <w:b/>
          <w:bCs/>
          <w:sz w:val="32"/>
          <w:szCs w:val="32"/>
          <w:shd w:val="clear" w:color="auto" w:fill="FFFFFF"/>
        </w:rPr>
        <w:t>9.完善废旧产品设备回收网络。</w:t>
      </w:r>
      <w:r>
        <w:rPr>
          <w:rFonts w:ascii="Times New Roman" w:eastAsia="仿宋_GB2312" w:hAnsi="Times New Roman"/>
          <w:sz w:val="32"/>
          <w:szCs w:val="32"/>
          <w:shd w:val="clear" w:color="auto" w:fill="FFFFFF"/>
        </w:rPr>
        <w:t>鼓励汽车、家电、动力电池等耐用品生产销售企业利用自身售后服务网络与电商平台、专业回收、拆解企业合作，推行“以旧换新”销售模式，规范逆向回收网络体系。统筹生活垃圾分类收集、中转贮存及再生资源回收设施建设，制定本辖区可回收物设施布局方案，将其纳入街区控制性详细规划，保障合理用地需求。支持建设一批再生资源绿色分拣中心。以朝阳循环经济产业园为重点，全面实施园区循环化改造提升工程，谋划推动废弃设备及消费品处理服务中心建设，进一步提高能源资源综合利用效率，提升全区废旧产品设备回收处理综合保障能力。</w:t>
      </w:r>
      <w:r>
        <w:rPr>
          <w:rFonts w:ascii="Times New Roman" w:eastAsia="楷体_GB2312" w:hAnsi="Times New Roman"/>
          <w:sz w:val="32"/>
          <w:szCs w:val="32"/>
          <w:shd w:val="clear" w:color="auto" w:fill="FFFFFF"/>
        </w:rPr>
        <w:t>（责任单位：区城市管理委、区商务局、市规划自然资源委朝阳分局、区发展改革委、区财政局）</w:t>
      </w:r>
    </w:p>
    <w:p>
      <w:pPr>
        <w:widowControl/>
        <w:shd w:val="clear" w:color="auto" w:fill="FFFFFF"/>
        <w:spacing w:line="560" w:lineRule="exact"/>
        <w:ind w:firstLineChars="200" w:firstLine="640"/>
        <w:rPr>
          <w:rFonts w:ascii="Times New Roman" w:eastAsia="楷体_GB2312" w:hAnsi="Times New Roman"/>
          <w:sz w:val="32"/>
          <w:szCs w:val="32"/>
          <w:shd w:val="clear" w:color="auto" w:fill="FFFFFF"/>
        </w:rPr>
      </w:pPr>
      <w:r>
        <w:rPr>
          <w:rFonts w:ascii="Times New Roman" w:eastAsia="仿宋_GB2312" w:hAnsi="Times New Roman"/>
          <w:b/>
          <w:bCs/>
          <w:sz w:val="32"/>
          <w:szCs w:val="32"/>
          <w:shd w:val="clear" w:color="auto" w:fill="FFFFFF"/>
        </w:rPr>
        <w:t>10.加强区域间循环经济合作。</w:t>
      </w:r>
      <w:r>
        <w:rPr>
          <w:rFonts w:ascii="Times New Roman" w:eastAsia="仿宋_GB2312" w:hAnsi="Times New Roman"/>
          <w:sz w:val="32"/>
          <w:szCs w:val="32"/>
          <w:shd w:val="clear" w:color="auto" w:fill="FFFFFF"/>
        </w:rPr>
        <w:t>鼓励区内相关回收企业和津冀地区再生资源加工企业沟通交流，促进区域资源共享和产业链协作，推动资源高水平再生利用。</w:t>
      </w:r>
      <w:r>
        <w:rPr>
          <w:rFonts w:ascii="Times New Roman" w:eastAsia="楷体_GB2312" w:hAnsi="Times New Roman"/>
          <w:sz w:val="32"/>
          <w:szCs w:val="32"/>
          <w:shd w:val="clear" w:color="auto" w:fill="FFFFFF"/>
        </w:rPr>
        <w:t>（责任单位：区发展改革委、区城市管理委）</w:t>
      </w:r>
    </w:p>
    <w:p>
      <w:pPr>
        <w:widowControl/>
        <w:shd w:val="clear" w:color="auto" w:fill="FFFFFF"/>
        <w:spacing w:line="560" w:lineRule="exact"/>
        <w:ind w:firstLineChars="200" w:firstLine="640"/>
        <w:rPr>
          <w:rFonts w:ascii="Times New Roman" w:eastAsia="楷体_GB2312" w:hAnsi="Times New Roman"/>
          <w:b/>
          <w:sz w:val="32"/>
          <w:szCs w:val="32"/>
        </w:rPr>
      </w:pPr>
      <w:r>
        <w:rPr>
          <w:rFonts w:ascii="Times New Roman" w:eastAsia="楷体_GB2312" w:hAnsi="Times New Roman"/>
          <w:b/>
          <w:sz w:val="32"/>
          <w:szCs w:val="32"/>
        </w:rPr>
        <w:t>（五）教育事业领域</w:t>
      </w:r>
    </w:p>
    <w:p>
      <w:pPr>
        <w:widowControl/>
        <w:shd w:val="clear" w:color="auto" w:fill="FFFFFF"/>
        <w:spacing w:line="560" w:lineRule="exact"/>
        <w:ind w:firstLineChars="200" w:firstLine="640"/>
        <w:rPr>
          <w:rFonts w:ascii="Times New Roman" w:eastAsia="楷体_GB2312" w:hAnsi="Times New Roman"/>
          <w:bCs/>
          <w:kern w:val="0"/>
          <w:sz w:val="32"/>
          <w:szCs w:val="32"/>
          <w:shd w:val="clear" w:color="auto" w:fill="FFFFFF"/>
        </w:rPr>
      </w:pPr>
      <w:r>
        <w:rPr>
          <w:rFonts w:ascii="Times New Roman" w:eastAsia="仿宋_GB2312" w:hAnsi="Times New Roman"/>
          <w:b/>
          <w:bCs/>
          <w:sz w:val="32"/>
          <w:szCs w:val="32"/>
          <w:shd w:val="clear" w:color="auto" w:fill="FFFFFF"/>
        </w:rPr>
        <w:t>11.提升教育设备水平。</w:t>
      </w:r>
      <w:r>
        <w:rPr>
          <w:rFonts w:ascii="Times New Roman" w:eastAsia="仿宋_GB2312" w:hAnsi="Times New Roman"/>
          <w:bCs/>
          <w:kern w:val="0"/>
          <w:sz w:val="32"/>
          <w:szCs w:val="32"/>
          <w:shd w:val="clear" w:color="auto" w:fill="FFFFFF"/>
        </w:rPr>
        <w:t>结合“宜学”朝阳建设，推动北京中学东坝北校区、十一学校朝阳实验学校、人大附中朝阳学校（朝阳港校区）等优质规模学校建成落地。推动中小学校、幼儿园更新先进教学、科研设备，落实北京市教育教学设备配置标准，保质保量配置并及时更新教学仪器设备。推进学校老旧门窗、供暖系统、外保温系统等基础设施设备有序更新。开展智慧校园建设，推动“人工智能+教育”场景应用落地。</w:t>
      </w:r>
      <w:r>
        <w:rPr>
          <w:rFonts w:ascii="Times New Roman" w:eastAsia="楷体_GB2312" w:hAnsi="Times New Roman"/>
          <w:bCs/>
          <w:kern w:val="0"/>
          <w:sz w:val="32"/>
          <w:szCs w:val="32"/>
          <w:shd w:val="clear" w:color="auto" w:fill="FFFFFF"/>
        </w:rPr>
        <w:t>（责任单位：区教委、区发展改革委、区财政局）</w:t>
      </w:r>
    </w:p>
    <w:p>
      <w:pPr>
        <w:widowControl/>
        <w:shd w:val="clear" w:color="auto" w:fill="FFFFFF"/>
        <w:spacing w:line="560" w:lineRule="exact"/>
        <w:ind w:firstLineChars="200" w:firstLine="640"/>
        <w:rPr>
          <w:rFonts w:ascii="Times New Roman" w:eastAsia="楷体_GB2312" w:hAnsi="Times New Roman"/>
          <w:b/>
          <w:sz w:val="32"/>
          <w:szCs w:val="32"/>
        </w:rPr>
      </w:pPr>
      <w:r>
        <w:rPr>
          <w:rFonts w:ascii="Times New Roman" w:eastAsia="楷体_GB2312" w:hAnsi="Times New Roman"/>
          <w:b/>
          <w:sz w:val="32"/>
          <w:szCs w:val="32"/>
        </w:rPr>
        <w:t>（六）卫健民政领域</w:t>
      </w:r>
    </w:p>
    <w:p>
      <w:pPr>
        <w:widowControl/>
        <w:shd w:val="clear" w:color="auto" w:fill="FFFFFF"/>
        <w:spacing w:line="560" w:lineRule="exact"/>
        <w:ind w:firstLineChars="200" w:firstLine="640"/>
        <w:rPr>
          <w:rFonts w:ascii="Times New Roman" w:eastAsia="仿宋_GB2312" w:hAnsi="Times New Roman"/>
          <w:bCs/>
          <w:kern w:val="0"/>
          <w:sz w:val="32"/>
          <w:szCs w:val="32"/>
          <w:shd w:val="clear" w:color="auto" w:fill="FFFFFF"/>
        </w:rPr>
      </w:pPr>
      <w:r>
        <w:rPr>
          <w:rFonts w:ascii="Times New Roman" w:eastAsia="仿宋_GB2312" w:hAnsi="Times New Roman"/>
          <w:b/>
          <w:bCs/>
          <w:sz w:val="32"/>
          <w:szCs w:val="32"/>
          <w:shd w:val="clear" w:color="auto" w:fill="FFFFFF"/>
        </w:rPr>
        <w:t>12.提升医疗设备水平。</w:t>
      </w:r>
      <w:r>
        <w:rPr>
          <w:rFonts w:ascii="Times New Roman" w:eastAsia="仿宋_GB2312" w:hAnsi="Times New Roman"/>
          <w:bCs/>
          <w:kern w:val="0"/>
          <w:sz w:val="32"/>
          <w:szCs w:val="32"/>
          <w:shd w:val="clear" w:color="auto" w:fill="FFFFFF"/>
        </w:rPr>
        <w:t>推进医疗卫生机构装备和信息化设施迭代升级，提升医疗机构硬件条件。推进儿童友好医院建设。构建健康云医疗机构专属资源池，建立数据资产分类管理体系。推动医疗机构病房环境改造提升，补齐病房环境与设施短板。支持区属医疗机构更新配备国际化诊疗服务设施设备，促进医疗服务质量和水平进一步接轨国际。</w:t>
      </w:r>
      <w:r>
        <w:rPr>
          <w:rFonts w:ascii="Times New Roman" w:eastAsia="楷体_GB2312" w:hAnsi="Times New Roman"/>
          <w:bCs/>
          <w:kern w:val="0"/>
          <w:sz w:val="32"/>
          <w:szCs w:val="32"/>
          <w:shd w:val="clear" w:color="auto" w:fill="FFFFFF"/>
        </w:rPr>
        <w:t>（责任单位：区卫生健康委、区发展改革委、区财政局）</w:t>
      </w:r>
    </w:p>
    <w:p>
      <w:pPr>
        <w:widowControl/>
        <w:shd w:val="clear" w:color="auto" w:fill="FFFFFF"/>
        <w:spacing w:line="560" w:lineRule="exact"/>
        <w:ind w:firstLineChars="200" w:firstLine="640"/>
        <w:rPr>
          <w:rFonts w:ascii="Times New Roman" w:eastAsia="仿宋_GB2312" w:hAnsi="Times New Roman"/>
          <w:bCs/>
          <w:kern w:val="0"/>
          <w:sz w:val="32"/>
          <w:szCs w:val="32"/>
          <w:shd w:val="clear" w:color="auto" w:fill="FFFFFF"/>
        </w:rPr>
      </w:pPr>
      <w:r>
        <w:rPr>
          <w:rFonts w:ascii="Times New Roman" w:eastAsia="仿宋_GB2312" w:hAnsi="Times New Roman"/>
          <w:b/>
          <w:bCs/>
          <w:sz w:val="32"/>
          <w:szCs w:val="32"/>
          <w:shd w:val="clear" w:color="auto" w:fill="FFFFFF"/>
        </w:rPr>
        <w:t>13.提升养老福利机构服务水平。</w:t>
      </w:r>
      <w:r>
        <w:rPr>
          <w:rFonts w:ascii="Times New Roman" w:eastAsia="仿宋_GB2312" w:hAnsi="Times New Roman"/>
          <w:bCs/>
          <w:kern w:val="0"/>
          <w:sz w:val="32"/>
          <w:szCs w:val="32"/>
          <w:shd w:val="clear" w:color="auto" w:fill="FFFFFF"/>
        </w:rPr>
        <w:t>依托三级养老服务体系建设，积极开展养老服务设施改造提升工程，打造老年友好型社区。全面启动街乡区域养老服务中心建设，力争2025年实现43个街乡全覆盖。制定老年人居家适老化改造具体实施办法，加快推进经济困难老年人居家适老化改造，打造高质量适老化改造公共样板间。优先推进与老年人日常生活密切相关的公共服务设施改造，提升无障碍环境服务水平。持续推进“一键呼”智慧养老服务项目，实现有需求的高龄老年人全覆盖。不断提升智慧养老服务水平，试点建设“智慧养老院”“智慧养老社区”，推进“互联网+护理服务”。做好儿童福利院、救助管理站等民生兜底机构设备更新提升，包括各类日常教学设施、生活电器设备等。</w:t>
      </w:r>
      <w:r>
        <w:rPr>
          <w:rFonts w:ascii="Times New Roman" w:eastAsia="楷体_GB2312" w:hAnsi="Times New Roman"/>
          <w:bCs/>
          <w:kern w:val="0"/>
          <w:sz w:val="32"/>
          <w:szCs w:val="32"/>
          <w:shd w:val="clear" w:color="auto" w:fill="FFFFFF"/>
        </w:rPr>
        <w:t>（责任单位：区民政局、区发展改革委、区财政局）</w:t>
      </w:r>
    </w:p>
    <w:p>
      <w:pPr>
        <w:widowControl/>
        <w:shd w:val="clear" w:color="auto" w:fill="FFFFFF"/>
        <w:spacing w:line="560" w:lineRule="exact"/>
        <w:ind w:firstLineChars="200" w:firstLine="640"/>
        <w:rPr>
          <w:rFonts w:ascii="Times New Roman" w:eastAsia="楷体_GB2312" w:hAnsi="Times New Roman"/>
          <w:b/>
          <w:sz w:val="32"/>
          <w:szCs w:val="32"/>
        </w:rPr>
      </w:pPr>
      <w:r>
        <w:rPr>
          <w:rFonts w:ascii="Times New Roman" w:eastAsia="楷体_GB2312" w:hAnsi="Times New Roman"/>
          <w:b/>
          <w:sz w:val="32"/>
          <w:szCs w:val="32"/>
        </w:rPr>
        <w:t>（七）城市更新领域</w:t>
      </w:r>
    </w:p>
    <w:p>
      <w:pPr>
        <w:adjustRightInd w:val="0"/>
        <w:snapToGrid w:val="0"/>
        <w:spacing w:line="560" w:lineRule="exact"/>
        <w:ind w:firstLineChars="200" w:firstLine="640"/>
        <w:rPr>
          <w:rFonts w:ascii="Times New Roman" w:eastAsia="仿宋_GB2312" w:hAnsi="Times New Roman"/>
          <w:sz w:val="32"/>
          <w:szCs w:val="32"/>
          <w:shd w:val="clear" w:color="auto" w:fill="FFFFFF"/>
        </w:rPr>
      </w:pPr>
      <w:r>
        <w:rPr>
          <w:rFonts w:ascii="Times New Roman" w:eastAsia="仿宋_GB2312" w:hAnsi="Times New Roman"/>
          <w:b/>
          <w:bCs/>
          <w:sz w:val="32"/>
          <w:szCs w:val="32"/>
          <w:shd w:val="clear" w:color="auto" w:fill="FFFFFF"/>
        </w:rPr>
        <w:t>14.推进公共建筑和居民小区节能技改。</w:t>
      </w:r>
      <w:r>
        <w:rPr>
          <w:rFonts w:ascii="Times New Roman" w:eastAsia="仿宋_GB2312" w:hAnsi="Times New Roman"/>
          <w:sz w:val="32"/>
          <w:szCs w:val="32"/>
          <w:shd w:val="clear" w:color="auto" w:fill="FFFFFF"/>
        </w:rPr>
        <w:t>以写字楼（园区）、酒店、商圈、大型文体设施、居民小区为重点，大力推动既有建筑节能低碳设备更新，加快推进存量燃气锅炉供热设施替代，鼓励地源热泵、空气源热泵、光伏发电等绿色先进技术应用，力争改造后达到绿色建筑二星级及以上标准。全区党政机关事业单位和区属国企率先垂范，探索开展合同能源管理，在设备换新采购中优先选用绿色产品，新采购重点用能设备不低于国家能效二级标准。</w:t>
      </w:r>
      <w:r>
        <w:rPr>
          <w:rFonts w:ascii="Times New Roman" w:eastAsia="楷体_GB2312" w:hAnsi="Times New Roman"/>
          <w:sz w:val="32"/>
          <w:szCs w:val="32"/>
          <w:shd w:val="clear" w:color="auto" w:fill="FFFFFF"/>
        </w:rPr>
        <w:t>（</w:t>
      </w:r>
      <w:r>
        <w:rPr>
          <w:rFonts w:ascii="Times New Roman" w:eastAsia="楷体_GB2312" w:hAnsi="Times New Roman"/>
          <w:bCs/>
          <w:kern w:val="0"/>
          <w:sz w:val="32"/>
          <w:szCs w:val="32"/>
          <w:shd w:val="clear" w:color="auto" w:fill="FFFFFF"/>
        </w:rPr>
        <w:t>责任单位：</w:t>
      </w:r>
      <w:r>
        <w:rPr>
          <w:rFonts w:ascii="Times New Roman" w:eastAsia="楷体_GB2312" w:hAnsi="Times New Roman"/>
          <w:sz w:val="32"/>
          <w:szCs w:val="32"/>
          <w:shd w:val="clear" w:color="auto" w:fill="FFFFFF"/>
        </w:rPr>
        <w:t>区发展改革委、区住房城乡建设委、区城市管理委、区国资委、区商务局、区文化和旅游局、区体育局、</w:t>
      </w:r>
      <w:r>
        <w:rPr>
          <w:rFonts w:ascii="Times New Roman" w:eastAsia="楷体_GB2312" w:hAnsi="Times New Roman"/>
          <w:color w:val="000000"/>
          <w:sz w:val="32"/>
          <w:szCs w:val="32"/>
          <w:shd w:val="clear" w:color="auto" w:fill="FFFFFF"/>
        </w:rPr>
        <w:t>区房屋管理局</w:t>
      </w:r>
      <w:r>
        <w:rPr>
          <w:rFonts w:ascii="Times New Roman" w:eastAsia="楷体_GB2312" w:hAnsi="Times New Roman"/>
          <w:sz w:val="32"/>
          <w:szCs w:val="32"/>
          <w:shd w:val="clear" w:color="auto" w:fill="FFFFFF"/>
        </w:rPr>
        <w:t>、区生态环境局、区机关事务管理服务中心、区财政局）</w:t>
      </w:r>
    </w:p>
    <w:p>
      <w:pPr>
        <w:adjustRightInd w:val="0"/>
        <w:snapToGrid w:val="0"/>
        <w:spacing w:line="560" w:lineRule="exact"/>
        <w:ind w:firstLineChars="200" w:firstLine="640"/>
        <w:rPr>
          <w:rFonts w:ascii="Times New Roman" w:eastAsia="仿宋_GB2312" w:hAnsi="Times New Roman"/>
          <w:b/>
          <w:bCs/>
          <w:sz w:val="32"/>
          <w:szCs w:val="32"/>
          <w:shd w:val="clear" w:color="auto" w:fill="FFFFFF"/>
        </w:rPr>
      </w:pPr>
      <w:r>
        <w:rPr>
          <w:rFonts w:ascii="Times New Roman" w:eastAsia="仿宋_GB2312" w:hAnsi="Times New Roman"/>
          <w:b/>
          <w:bCs/>
          <w:sz w:val="32"/>
          <w:szCs w:val="32"/>
          <w:shd w:val="clear" w:color="auto" w:fill="FFFFFF"/>
        </w:rPr>
        <w:t>15.积极推动住宅电梯加改装。</w:t>
      </w:r>
      <w:r>
        <w:rPr>
          <w:rFonts w:ascii="Times New Roman" w:eastAsia="仿宋_GB2312" w:hAnsi="Times New Roman"/>
          <w:sz w:val="32"/>
          <w:szCs w:val="32"/>
          <w:shd w:val="clear" w:color="auto" w:fill="FFFFFF"/>
        </w:rPr>
        <w:t>加快解决老旧住宅电梯故障率高等问题，改善居民生活品质，依托“住宅专项维修资金”和“朝阳区老旧住宅电梯政府救济机制”，对区内电梯实施更新、改造和大修。结合老旧小区改造，统筹安排、稳步推进既有住宅加装电梯。</w:t>
      </w:r>
      <w:r>
        <w:rPr>
          <w:rFonts w:ascii="Times New Roman" w:eastAsia="楷体_GB2312" w:hAnsi="Times New Roman"/>
          <w:sz w:val="32"/>
          <w:szCs w:val="32"/>
          <w:shd w:val="clear" w:color="auto" w:fill="FFFFFF"/>
        </w:rPr>
        <w:t>（责任单位：区房屋管理局、区市场监管局、区住房城乡建设委、区城市管理委、区发展改革委、区财政局）</w:t>
      </w:r>
    </w:p>
    <w:p>
      <w:pPr>
        <w:adjustRightInd w:val="0"/>
        <w:snapToGrid w:val="0"/>
        <w:spacing w:line="560" w:lineRule="exact"/>
        <w:ind w:firstLineChars="200" w:firstLine="640"/>
        <w:rPr>
          <w:rFonts w:ascii="Times New Roman" w:eastAsia="仿宋_GB2312" w:hAnsi="Times New Roman"/>
          <w:sz w:val="32"/>
          <w:szCs w:val="32"/>
          <w:shd w:val="clear" w:color="auto" w:fill="FFFFFF"/>
        </w:rPr>
      </w:pPr>
      <w:r>
        <w:rPr>
          <w:rFonts w:ascii="Times New Roman" w:eastAsia="仿宋_GB2312" w:hAnsi="Times New Roman"/>
          <w:b/>
          <w:bCs/>
          <w:sz w:val="32"/>
          <w:szCs w:val="32"/>
          <w:shd w:val="clear" w:color="auto" w:fill="FFFFFF"/>
        </w:rPr>
        <w:t>16.推动供热和天然气设备更新。</w:t>
      </w:r>
      <w:r>
        <w:rPr>
          <w:rFonts w:ascii="Times New Roman" w:eastAsia="仿宋_GB2312" w:hAnsi="Times New Roman"/>
          <w:sz w:val="32"/>
          <w:szCs w:val="32"/>
          <w:shd w:val="clear" w:color="auto" w:fill="FFFFFF"/>
        </w:rPr>
        <w:t>实施老旧供热热源、管网、热力站及配套设施改造，提高供热系统清洁低碳、安全韧性和智能化水平。有序实施老旧天然气管线改造工程。</w:t>
      </w:r>
      <w:r>
        <w:rPr>
          <w:rFonts w:ascii="Times New Roman" w:eastAsia="楷体_GB2312" w:hAnsi="Times New Roman"/>
          <w:sz w:val="32"/>
          <w:szCs w:val="32"/>
          <w:shd w:val="clear" w:color="auto" w:fill="FFFFFF"/>
        </w:rPr>
        <w:t>（责任单位：区城市管理委、区生态环境局、区发展改革委、区财政局）</w:t>
      </w:r>
    </w:p>
    <w:p>
      <w:pPr>
        <w:adjustRightInd w:val="0"/>
        <w:snapToGrid w:val="0"/>
        <w:spacing w:line="560" w:lineRule="exact"/>
        <w:ind w:firstLineChars="200" w:firstLine="640"/>
        <w:rPr>
          <w:rFonts w:ascii="Times New Roman" w:eastAsia="楷体_GB2312" w:hAnsi="Times New Roman"/>
          <w:b/>
          <w:sz w:val="32"/>
          <w:szCs w:val="32"/>
          <w:shd w:val="clear" w:color="auto" w:fill="FFFFFF"/>
        </w:rPr>
      </w:pPr>
      <w:r>
        <w:rPr>
          <w:rFonts w:ascii="Times New Roman" w:eastAsia="仿宋_GB2312" w:hAnsi="Times New Roman"/>
          <w:b/>
          <w:bCs/>
          <w:sz w:val="32"/>
          <w:szCs w:val="32"/>
          <w:shd w:val="clear" w:color="auto" w:fill="FFFFFF"/>
        </w:rPr>
        <w:t>17.加快供排水设备更新。</w:t>
      </w:r>
      <w:r>
        <w:rPr>
          <w:rFonts w:ascii="Times New Roman" w:eastAsia="仿宋_GB2312" w:hAnsi="Times New Roman"/>
          <w:sz w:val="32"/>
          <w:szCs w:val="32"/>
          <w:shd w:val="clear" w:color="auto" w:fill="FFFFFF"/>
        </w:rPr>
        <w:t>结合城市更新、老旧小区改造，配合市级实施中心城区供水管网完善二期工程，推动老旧供水管网和设备更新、漏损治理，提升供水安全保障水平。推动污水收集处理设备更新，提高污水处理效率和出水水质、改善水环境质量，配合市级实施2座</w:t>
      </w:r>
      <w:r>
        <w:rPr>
          <w:rFonts w:ascii="Times New Roman" w:eastAsia="仿宋_GB2312" w:hAnsi="Times New Roman"/>
          <w:color w:val="000000"/>
          <w:kern w:val="0"/>
          <w:sz w:val="31"/>
          <w:szCs w:val="31"/>
        </w:rPr>
        <w:t>再生水厂超滤膜更新、配电系统更新项目。</w:t>
      </w:r>
      <w:r>
        <w:rPr>
          <w:rFonts w:ascii="Times New Roman" w:eastAsia="楷体_GB2312" w:hAnsi="Times New Roman"/>
          <w:sz w:val="32"/>
          <w:szCs w:val="32"/>
          <w:shd w:val="clear" w:color="auto" w:fill="FFFFFF"/>
        </w:rPr>
        <w:t>（责任单位：区水务局、区发展改革委、区财政局）</w:t>
      </w:r>
    </w:p>
    <w:p>
      <w:pPr>
        <w:adjustRightInd w:val="0"/>
        <w:snapToGrid w:val="0"/>
        <w:spacing w:line="560" w:lineRule="exact"/>
        <w:ind w:firstLineChars="200" w:firstLine="640"/>
        <w:rPr>
          <w:rFonts w:ascii="Times New Roman" w:eastAsia="楷体_GB2312" w:hAnsi="Times New Roman"/>
          <w:sz w:val="32"/>
          <w:szCs w:val="32"/>
          <w:shd w:val="clear" w:color="auto" w:fill="FFFFFF"/>
        </w:rPr>
      </w:pPr>
      <w:r>
        <w:rPr>
          <w:rFonts w:ascii="Times New Roman" w:eastAsia="仿宋_GB2312" w:hAnsi="Times New Roman"/>
          <w:b/>
          <w:bCs/>
          <w:sz w:val="32"/>
          <w:szCs w:val="32"/>
          <w:shd w:val="clear" w:color="auto" w:fill="FFFFFF"/>
        </w:rPr>
        <w:t>18.推进发输配电设备更新。</w:t>
      </w:r>
      <w:r>
        <w:rPr>
          <w:rFonts w:ascii="Times New Roman" w:eastAsia="仿宋_GB2312" w:hAnsi="Times New Roman"/>
          <w:sz w:val="32"/>
          <w:szCs w:val="32"/>
        </w:rPr>
        <w:t>鼓励企业实施老旧风电、光伏发电设备更新</w:t>
      </w:r>
      <w:r>
        <w:rPr>
          <w:rFonts w:ascii="Times New Roman" w:eastAsia="仿宋_GB2312" w:hAnsi="Times New Roman"/>
          <w:sz w:val="32"/>
          <w:szCs w:val="32"/>
          <w:shd w:val="clear" w:color="auto" w:fill="FFFFFF"/>
        </w:rPr>
        <w:t>，提高发电效率和年发电小时数，增加本地绿电供应。推动朝阳供电公司所属变压器等设备采取节电降耗措施，提高安全运行水平，鼓励采用合同能源管理、融资租赁等方式实施更新。鼓励企业实施老旧充电设施智能化、快充化改造、车网互动升级。</w:t>
      </w:r>
      <w:r>
        <w:rPr>
          <w:rFonts w:ascii="Times New Roman" w:eastAsia="楷体_GB2312" w:hAnsi="Times New Roman"/>
          <w:sz w:val="32"/>
          <w:szCs w:val="32"/>
          <w:shd w:val="clear" w:color="auto" w:fill="FFFFFF"/>
        </w:rPr>
        <w:t>（责任单位：区城市管理委、区发展改革委、区财政局）</w:t>
      </w:r>
    </w:p>
    <w:p>
      <w:pPr>
        <w:adjustRightInd w:val="0"/>
        <w:snapToGrid w:val="0"/>
        <w:spacing w:line="560" w:lineRule="exact"/>
        <w:ind w:firstLineChars="200" w:firstLine="640"/>
        <w:rPr>
          <w:rFonts w:ascii="Times New Roman" w:eastAsia="楷体_GB2312" w:hAnsi="Times New Roman"/>
          <w:sz w:val="32"/>
          <w:szCs w:val="32"/>
          <w:shd w:val="clear" w:color="auto" w:fill="FFFFFF"/>
        </w:rPr>
      </w:pPr>
      <w:r>
        <w:rPr>
          <w:rFonts w:ascii="Times New Roman" w:eastAsia="仿宋_GB2312" w:hAnsi="Times New Roman"/>
          <w:b/>
          <w:bCs/>
          <w:sz w:val="32"/>
          <w:szCs w:val="32"/>
          <w:shd w:val="clear" w:color="auto" w:fill="FFFFFF"/>
        </w:rPr>
        <w:t>19.加快路灯及景观照明设备更新。</w:t>
      </w:r>
      <w:r>
        <w:rPr>
          <w:rFonts w:ascii="Times New Roman" w:eastAsia="仿宋_GB2312" w:hAnsi="Times New Roman"/>
          <w:sz w:val="32"/>
          <w:szCs w:val="32"/>
          <w:shd w:val="clear" w:color="auto" w:fill="FFFFFF"/>
        </w:rPr>
        <w:t>结合北京朝阳国际灯光节、“潮朝阳”消费季等特色活动，对重点区域景观照明设施进行升级改造，消除照明设施安全隐患，推动节能降碳，进一步提升夜朝阳光环境品质。</w:t>
      </w:r>
      <w:r>
        <w:rPr>
          <w:rFonts w:ascii="Times New Roman" w:eastAsia="楷体_GB2312" w:hAnsi="Times New Roman"/>
          <w:sz w:val="32"/>
          <w:szCs w:val="32"/>
          <w:shd w:val="clear" w:color="auto" w:fill="FFFFFF"/>
        </w:rPr>
        <w:t>（责任单位：区城市管理委、区交通委、区财政局）</w:t>
      </w:r>
    </w:p>
    <w:p>
      <w:pPr>
        <w:widowControl/>
        <w:shd w:val="clear" w:color="auto" w:fill="FFFFFF"/>
        <w:spacing w:line="560" w:lineRule="exact"/>
        <w:ind w:firstLineChars="200" w:firstLine="640"/>
        <w:rPr>
          <w:rFonts w:ascii="Times New Roman" w:eastAsia="楷体_GB2312" w:hAnsi="Times New Roman"/>
          <w:b/>
          <w:sz w:val="32"/>
          <w:szCs w:val="32"/>
        </w:rPr>
      </w:pPr>
      <w:r>
        <w:rPr>
          <w:rFonts w:ascii="Times New Roman" w:eastAsia="楷体_GB2312" w:hAnsi="Times New Roman"/>
          <w:b/>
          <w:sz w:val="32"/>
          <w:szCs w:val="32"/>
        </w:rPr>
        <w:t>（八）智慧治理领域</w:t>
      </w:r>
    </w:p>
    <w:p>
      <w:pPr>
        <w:adjustRightInd w:val="0"/>
        <w:snapToGrid w:val="0"/>
        <w:spacing w:line="560" w:lineRule="exact"/>
        <w:ind w:firstLineChars="200" w:firstLine="640"/>
        <w:rPr>
          <w:rFonts w:ascii="Times New Roman" w:eastAsia="仿宋_GB2312" w:hAnsi="Times New Roman"/>
          <w:sz w:val="32"/>
          <w:szCs w:val="32"/>
          <w:shd w:val="clear" w:color="auto" w:fill="FFFFFF"/>
        </w:rPr>
      </w:pPr>
      <w:r>
        <w:rPr>
          <w:rFonts w:ascii="Times New Roman" w:eastAsia="仿宋_GB2312" w:hAnsi="Times New Roman"/>
          <w:b/>
          <w:bCs/>
          <w:sz w:val="32"/>
          <w:szCs w:val="32"/>
          <w:shd w:val="clear" w:color="auto" w:fill="FFFFFF"/>
        </w:rPr>
        <w:t>20.加快重点公共区域安防设备智能化升级。</w:t>
      </w:r>
      <w:r>
        <w:rPr>
          <w:rFonts w:ascii="Times New Roman" w:eastAsia="仿宋_GB2312" w:hAnsi="Times New Roman"/>
          <w:sz w:val="32"/>
          <w:szCs w:val="32"/>
          <w:lang w:val="zh-CN"/>
        </w:rPr>
        <w:t>推进公共安全视频监控增点扩面，增设智能摄像头，强化视频图像信息分析应用。</w:t>
      </w:r>
      <w:r>
        <w:rPr>
          <w:rFonts w:ascii="Times New Roman" w:eastAsia="仿宋_GB2312" w:hAnsi="Times New Roman"/>
          <w:sz w:val="32"/>
          <w:szCs w:val="32"/>
          <w:shd w:val="clear" w:color="auto" w:fill="FFFFFF"/>
        </w:rPr>
        <w:t>不断提高视频监控系统智能化水平，推进破损设备更新，配套基础设施扩容升级，强化公共安全保障。</w:t>
      </w:r>
      <w:r>
        <w:rPr>
          <w:rFonts w:ascii="Times New Roman" w:eastAsia="楷体_GB2312" w:hAnsi="Times New Roman"/>
          <w:sz w:val="32"/>
          <w:szCs w:val="32"/>
          <w:shd w:val="clear" w:color="auto" w:fill="FFFFFF"/>
        </w:rPr>
        <w:t>（责任单位：公安朝阳分局、区发展改革委、区财政局）</w:t>
      </w:r>
    </w:p>
    <w:p>
      <w:pPr>
        <w:adjustRightInd w:val="0"/>
        <w:snapToGrid w:val="0"/>
        <w:spacing w:line="560" w:lineRule="exact"/>
        <w:ind w:firstLineChars="200" w:firstLine="640"/>
        <w:rPr>
          <w:rFonts w:ascii="Times New Roman" w:eastAsia="楷体_GB2312" w:hAnsi="Times New Roman"/>
          <w:b/>
          <w:sz w:val="32"/>
          <w:szCs w:val="32"/>
          <w:shd w:val="clear" w:color="auto" w:fill="FFFFFF"/>
        </w:rPr>
      </w:pPr>
      <w:bookmarkStart w:id="2" w:name="_Hlk161226458"/>
      <w:r>
        <w:rPr>
          <w:rFonts w:ascii="Times New Roman" w:eastAsia="仿宋_GB2312" w:hAnsi="Times New Roman"/>
          <w:b/>
          <w:bCs/>
          <w:sz w:val="32"/>
          <w:szCs w:val="32"/>
          <w:shd w:val="clear" w:color="auto" w:fill="FFFFFF"/>
        </w:rPr>
        <w:t>21.有序推进道路交通设备更新</w:t>
      </w:r>
      <w:bookmarkEnd w:id="2"/>
      <w:r>
        <w:rPr>
          <w:rFonts w:ascii="Times New Roman" w:eastAsia="仿宋_GB2312" w:hAnsi="Times New Roman"/>
          <w:b/>
          <w:bCs/>
          <w:sz w:val="32"/>
          <w:szCs w:val="32"/>
          <w:shd w:val="clear" w:color="auto" w:fill="FFFFFF"/>
        </w:rPr>
        <w:t>。</w:t>
      </w:r>
      <w:r>
        <w:rPr>
          <w:rFonts w:ascii="Times New Roman" w:eastAsia="仿宋_GB2312" w:hAnsi="Times New Roman"/>
          <w:sz w:val="32"/>
          <w:szCs w:val="32"/>
        </w:rPr>
        <w:t>深化智慧交通建设，推进智能信控体系升级，提升智慧交通管理效能。</w:t>
      </w:r>
      <w:r>
        <w:rPr>
          <w:rFonts w:ascii="Times New Roman" w:eastAsia="仿宋_GB2312" w:hAnsi="Times New Roman"/>
          <w:sz w:val="32"/>
          <w:szCs w:val="32"/>
          <w:lang w:val="zh-CN"/>
        </w:rPr>
        <w:t>以人流密集区域为重点，推进一批电子围栏技术应用试点落地。</w:t>
      </w:r>
      <w:r>
        <w:rPr>
          <w:rFonts w:ascii="Times New Roman" w:eastAsia="仿宋_GB2312" w:hAnsi="Times New Roman"/>
          <w:sz w:val="32"/>
          <w:szCs w:val="32"/>
          <w:shd w:val="clear" w:color="auto" w:fill="FFFFFF"/>
        </w:rPr>
        <w:t>加强地面交通智能感知能力，推进老旧信号灯智能化升级，提高交通运行效率。推动路侧停车动态监测设备更新。</w:t>
      </w:r>
      <w:r>
        <w:rPr>
          <w:rFonts w:ascii="Times New Roman" w:eastAsia="楷体_GB2312" w:hAnsi="Times New Roman"/>
          <w:sz w:val="32"/>
          <w:szCs w:val="32"/>
          <w:shd w:val="clear" w:color="auto" w:fill="FFFFFF"/>
        </w:rPr>
        <w:t>（责任单位：区交通委、朝阳交通支队、区发展改革委、区财政局）</w:t>
      </w:r>
    </w:p>
    <w:p>
      <w:pPr>
        <w:adjustRightInd w:val="0"/>
        <w:snapToGrid w:val="0"/>
        <w:spacing w:line="560" w:lineRule="exact"/>
        <w:ind w:firstLineChars="200" w:firstLine="640"/>
        <w:rPr>
          <w:rFonts w:ascii="Times New Roman" w:eastAsia="仿宋_GB2312" w:hAnsi="Times New Roman"/>
          <w:b/>
          <w:sz w:val="32"/>
          <w:szCs w:val="32"/>
          <w:shd w:val="clear" w:color="auto" w:fill="FFFFFF"/>
        </w:rPr>
      </w:pPr>
      <w:r>
        <w:rPr>
          <w:rFonts w:ascii="Times New Roman" w:eastAsia="仿宋_GB2312" w:hAnsi="Times New Roman"/>
          <w:b/>
          <w:bCs/>
          <w:sz w:val="32"/>
          <w:szCs w:val="32"/>
          <w:shd w:val="clear" w:color="auto" w:fill="FFFFFF"/>
        </w:rPr>
        <w:t>22.统筹实施城市管理信息化设备和环卫车辆更新。</w:t>
      </w:r>
      <w:r>
        <w:rPr>
          <w:rFonts w:ascii="Times New Roman" w:eastAsia="仿宋_GB2312" w:hAnsi="Times New Roman"/>
          <w:sz w:val="32"/>
          <w:szCs w:val="32"/>
          <w:shd w:val="clear" w:color="auto" w:fill="FFFFFF"/>
        </w:rPr>
        <w:t>推动“城市管理大脑（一期）”环卫监管、垃圾分类、渣土车等应用场景建设。推进环卫作业车辆更新为新能源车，进一步提高作业效率、降低环境影响。</w:t>
      </w:r>
      <w:r>
        <w:rPr>
          <w:rFonts w:ascii="Times New Roman" w:eastAsia="楷体_GB2312" w:hAnsi="Times New Roman"/>
          <w:sz w:val="32"/>
          <w:szCs w:val="32"/>
          <w:shd w:val="clear" w:color="auto" w:fill="FFFFFF"/>
        </w:rPr>
        <w:t>（责任单位：区城市管理委、区交通委、区财政局）</w:t>
      </w:r>
      <w:r>
        <w:rPr>
          <w:rFonts w:ascii="Times New Roman" w:eastAsia="仿宋_GB2312" w:hAnsi="Times New Roman"/>
          <w:b/>
          <w:sz w:val="32"/>
          <w:szCs w:val="32"/>
          <w:shd w:val="clear" w:color="auto" w:fill="FFFFFF"/>
        </w:rPr>
        <w:t xml:space="preserve"> </w:t>
      </w:r>
    </w:p>
    <w:p>
      <w:pPr>
        <w:widowControl/>
        <w:shd w:val="clear" w:color="auto" w:fill="FFFFFF"/>
        <w:spacing w:line="560" w:lineRule="exact"/>
        <w:ind w:firstLineChars="200" w:firstLine="640"/>
        <w:rPr>
          <w:rFonts w:ascii="Times New Roman" w:eastAsia="黑体" w:hAnsi="Times New Roman"/>
          <w:bCs/>
          <w:sz w:val="32"/>
          <w:szCs w:val="21"/>
        </w:rPr>
      </w:pPr>
      <w:r>
        <w:rPr>
          <w:rFonts w:ascii="Times New Roman" w:eastAsia="黑体" w:hAnsi="Times New Roman"/>
          <w:bCs/>
          <w:sz w:val="32"/>
          <w:szCs w:val="21"/>
        </w:rPr>
        <w:t>三、保障措施</w:t>
      </w:r>
    </w:p>
    <w:p>
      <w:pPr>
        <w:widowControl/>
        <w:shd w:val="clear" w:color="auto" w:fill="FFFFFF"/>
        <w:spacing w:line="560" w:lineRule="exact"/>
        <w:ind w:firstLineChars="200" w:firstLine="640"/>
        <w:rPr>
          <w:rFonts w:ascii="Times New Roman" w:eastAsia="楷体_GB2312" w:hAnsi="Times New Roman"/>
          <w:sz w:val="32"/>
          <w:szCs w:val="32"/>
          <w:shd w:val="clear" w:color="auto" w:fill="FFFFFF"/>
        </w:rPr>
      </w:pPr>
      <w:r>
        <w:rPr>
          <w:rFonts w:ascii="Times New Roman" w:eastAsia="仿宋_GB2312" w:hAnsi="Times New Roman"/>
          <w:b/>
          <w:bCs/>
          <w:sz w:val="32"/>
          <w:szCs w:val="32"/>
          <w:shd w:val="clear" w:color="auto" w:fill="FFFFFF"/>
        </w:rPr>
        <w:t>1.加强组织领导和工作调度。</w:t>
      </w:r>
      <w:r>
        <w:rPr>
          <w:rFonts w:ascii="Times New Roman" w:eastAsia="仿宋_GB2312" w:hAnsi="Times New Roman"/>
          <w:bCs/>
          <w:kern w:val="0"/>
          <w:sz w:val="32"/>
          <w:szCs w:val="32"/>
        </w:rPr>
        <w:t>区发展改革委</w:t>
      </w:r>
      <w:r>
        <w:rPr>
          <w:rFonts w:ascii="Times New Roman" w:eastAsia="仿宋_GB2312" w:hAnsi="Times New Roman"/>
          <w:bCs/>
          <w:snapToGrid w:val="0"/>
          <w:kern w:val="0"/>
          <w:sz w:val="32"/>
          <w:szCs w:val="32"/>
        </w:rPr>
        <w:t>做好统筹协调，各部门、各街乡要高度重视，加强协同、凝集力量，认真落实各项任务目标。</w:t>
      </w:r>
      <w:r>
        <w:rPr>
          <w:rFonts w:ascii="Times New Roman" w:eastAsia="仿宋_GB2312" w:hAnsi="Times New Roman"/>
          <w:bCs/>
          <w:kern w:val="0"/>
          <w:sz w:val="32"/>
          <w:szCs w:val="32"/>
        </w:rPr>
        <w:t>各有关部门要积极衔接市级相关政策要求，逐年确定实施项目，结合区级基本建设计划，</w:t>
      </w:r>
      <w:r>
        <w:rPr>
          <w:rFonts w:ascii="Times New Roman" w:eastAsia="仿宋_GB2312" w:hAnsi="Times New Roman"/>
          <w:bCs/>
          <w:snapToGrid w:val="0"/>
          <w:kern w:val="0"/>
          <w:sz w:val="32"/>
          <w:szCs w:val="32"/>
        </w:rPr>
        <w:t>建立动态更新的重点项目库，定期进行调度，进一步扩大投资规模，发挥投资的关键作用。针</w:t>
      </w:r>
      <w:r>
        <w:rPr>
          <w:rFonts w:ascii="Times New Roman" w:eastAsia="仿宋_GB2312" w:hAnsi="Times New Roman"/>
          <w:bCs/>
          <w:kern w:val="0"/>
          <w:sz w:val="32"/>
          <w:szCs w:val="32"/>
        </w:rPr>
        <w:t>对不新增土地、以设备更新为主的技术改造项目，简化前期审批、备案手续，确保项目进度。</w:t>
      </w:r>
      <w:r>
        <w:rPr>
          <w:rFonts w:ascii="Times New Roman" w:eastAsia="楷体_GB2312" w:hAnsi="Times New Roman"/>
          <w:sz w:val="32"/>
          <w:szCs w:val="32"/>
          <w:shd w:val="clear" w:color="auto" w:fill="FFFFFF"/>
        </w:rPr>
        <w:t>（责任单位：区发展改革委、区财政局、区商务局、区国资委、区住房城乡建设委、区城市管理委、区交通委、朝阳园管委会区科学技术和信息化局、区数据局、区教委、区卫生健康委、区文化和旅游局、区民政局）</w:t>
      </w:r>
    </w:p>
    <w:p>
      <w:pPr>
        <w:widowControl/>
        <w:shd w:val="clear" w:color="auto" w:fill="FFFFFF"/>
        <w:spacing w:line="560" w:lineRule="exact"/>
        <w:ind w:firstLineChars="200" w:firstLine="640"/>
        <w:rPr>
          <w:rFonts w:ascii="Times New Roman" w:eastAsia="仿宋_GB2312" w:hAnsi="Times New Roman"/>
          <w:bCs/>
          <w:snapToGrid w:val="0"/>
          <w:kern w:val="0"/>
          <w:sz w:val="32"/>
          <w:szCs w:val="32"/>
        </w:rPr>
      </w:pPr>
      <w:r>
        <w:rPr>
          <w:rFonts w:ascii="Times New Roman" w:eastAsia="仿宋_GB2312" w:hAnsi="Times New Roman"/>
          <w:b/>
          <w:bCs/>
          <w:sz w:val="32"/>
          <w:szCs w:val="32"/>
          <w:shd w:val="clear" w:color="auto" w:fill="FFFFFF"/>
        </w:rPr>
        <w:t>2.发挥标准引领作用。</w:t>
      </w:r>
      <w:r>
        <w:rPr>
          <w:rFonts w:ascii="Times New Roman" w:eastAsia="仿宋_GB2312" w:hAnsi="Times New Roman"/>
          <w:kern w:val="0"/>
          <w:sz w:val="32"/>
          <w:szCs w:val="32"/>
        </w:rPr>
        <w:t>开展团体标准、企业标准自我声明公开监督检查工作，规定辖区企业制定的企业标准和团体标准技术要求不得低于强制性国家标准。实施首都标准化战略朝阳区补助资金项目，鼓励本区相关企业、行业协会制定高水平的企业标准、团体标准。</w:t>
      </w:r>
      <w:r>
        <w:rPr>
          <w:rFonts w:ascii="Times New Roman" w:eastAsia="楷体_GB2312" w:hAnsi="Times New Roman"/>
          <w:bCs/>
          <w:kern w:val="0"/>
          <w:sz w:val="32"/>
          <w:szCs w:val="32"/>
          <w:shd w:val="clear" w:color="auto" w:fill="FFFFFF"/>
        </w:rPr>
        <w:t>（责任单位：区市场监管局）</w:t>
      </w:r>
    </w:p>
    <w:p>
      <w:pPr>
        <w:widowControl/>
        <w:shd w:val="clear" w:color="auto" w:fill="FFFFFF"/>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
          <w:bCs/>
          <w:sz w:val="32"/>
          <w:szCs w:val="32"/>
          <w:shd w:val="clear" w:color="auto" w:fill="FFFFFF"/>
        </w:rPr>
        <w:t>3.用好各类政策资金支持。</w:t>
      </w:r>
      <w:r>
        <w:rPr>
          <w:rFonts w:ascii="Times New Roman" w:eastAsia="仿宋_GB2312" w:hAnsi="Times New Roman"/>
          <w:bCs/>
          <w:kern w:val="0"/>
          <w:sz w:val="32"/>
          <w:szCs w:val="32"/>
        </w:rPr>
        <w:t>结合重点项目库，各部门要积极对接申报国家超长期特别国债、设备购置与更新改造贷款贴息等国家、市级支持政策，切实做到“应申报尽申报”。针对特殊重点项目，在争取上级政策支持的基础上，加大区级财政资金保障力度。加强既有各项相关政策文件衔接，统筹落实好区内“1+7”产业政策、城市更新行动计划、节能减碳专项资金、锅炉改造补贴政策等各类资金政策。加大区级财政资金对设备更新和以旧换新工作的支持力度，研究制定区级配套贷款贴息办法等政策。进一步完善政府绿色采购政策，加大绿色产品采购力度。推广资源回收企业向自然人报废产品出售者“反向开票”做法，严格落实对节能节水、环境保护、安全生产专用设备等方面的税收优惠支持政策。</w:t>
      </w:r>
      <w:r>
        <w:rPr>
          <w:rFonts w:ascii="Times New Roman" w:eastAsia="楷体_GB2312" w:hAnsi="Times New Roman"/>
          <w:sz w:val="32"/>
          <w:szCs w:val="32"/>
          <w:shd w:val="clear" w:color="auto" w:fill="FFFFFF"/>
        </w:rPr>
        <w:t>（责任单位：区财政局、区发展改革委、区国资委、区住房城乡建设委、区生态环境局、区税务局）</w:t>
      </w:r>
    </w:p>
    <w:p>
      <w:pPr>
        <w:widowControl/>
        <w:shd w:val="clear" w:color="auto" w:fill="FFFFFF"/>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
          <w:bCs/>
          <w:sz w:val="32"/>
          <w:szCs w:val="32"/>
          <w:shd w:val="clear" w:color="auto" w:fill="FFFFFF"/>
        </w:rPr>
        <w:t>4.强化金融支持举措。</w:t>
      </w:r>
      <w:r>
        <w:rPr>
          <w:rFonts w:ascii="Times New Roman" w:eastAsia="仿宋_GB2312" w:hAnsi="Times New Roman"/>
          <w:kern w:val="0"/>
          <w:sz w:val="32"/>
          <w:szCs w:val="32"/>
        </w:rPr>
        <w:t>充分发挥首都国际金融主聚集区优势，鼓励金融机构合理增加信贷，加大对设备更新和消费品以旧换新金融支持力度，积极申请设备更新和技术改造再贷款，积极争取中央财政对符合再贷款报销条件的银行贷款给予贴息支持。鼓励银行业金融机构在依法合规、风险可控前提下，适当降低汽车贷款首付比例，合理确定贷款期限、贷款额度。鼓励保险机构结合设备更新开展首台（套）保险。积极探索应用融资租赁等模式，吸引民营企业等社会资本参与设备更新。</w:t>
      </w:r>
      <w:r>
        <w:rPr>
          <w:rFonts w:ascii="Times New Roman" w:eastAsia="楷体_GB2312" w:hAnsi="Times New Roman"/>
          <w:bCs/>
          <w:kern w:val="0"/>
          <w:sz w:val="32"/>
          <w:szCs w:val="32"/>
          <w:shd w:val="clear" w:color="auto" w:fill="FFFFFF"/>
        </w:rPr>
        <w:t>（责任单位：区发展改革委）</w:t>
      </w:r>
    </w:p>
    <w:p>
      <w:pPr>
        <w:autoSpaceDE w:val="0"/>
        <w:autoSpaceDN w:val="0"/>
        <w:adjustRightInd w:val="0"/>
        <w:spacing w:line="560" w:lineRule="exact"/>
        <w:ind w:firstLineChars="200" w:firstLine="640"/>
        <w:rPr>
          <w:rFonts w:ascii="Times New Roman" w:eastAsia="楷体_GB2312" w:hAnsi="Times New Roman"/>
          <w:sz w:val="32"/>
          <w:szCs w:val="32"/>
          <w:shd w:val="clear" w:color="auto" w:fill="FFFFFF"/>
        </w:rPr>
      </w:pPr>
      <w:r>
        <w:rPr>
          <w:rFonts w:ascii="Times New Roman" w:eastAsia="仿宋_GB2312" w:hAnsi="Times New Roman"/>
          <w:b/>
          <w:bCs/>
          <w:sz w:val="32"/>
          <w:szCs w:val="32"/>
          <w:shd w:val="clear" w:color="auto" w:fill="FFFFFF"/>
        </w:rPr>
        <w:t>5.强化创新支撑。</w:t>
      </w:r>
      <w:r>
        <w:rPr>
          <w:rFonts w:ascii="Times New Roman" w:eastAsia="仿宋_GB2312" w:hAnsi="Times New Roman"/>
          <w:sz w:val="32"/>
          <w:szCs w:val="32"/>
        </w:rPr>
        <w:t>引导区内高校、科研院所等，聚焦产业技术、重大技术装备“卡脖子”难题，积极开展科技攻关。依托“朝阳</w:t>
      </w:r>
      <w:r>
        <w:rPr>
          <w:rFonts w:ascii="Times New Roman" w:eastAsia="仿宋_GB2312" w:hAnsi="Times New Roman" w:hint="eastAsia"/>
          <w:sz w:val="32"/>
          <w:szCs w:val="32"/>
        </w:rPr>
        <w:t>区</w:t>
      </w:r>
      <w:r>
        <w:rPr>
          <w:rFonts w:ascii="Times New Roman" w:eastAsia="仿宋_GB2312" w:hAnsi="Times New Roman"/>
          <w:sz w:val="32"/>
          <w:szCs w:val="32"/>
        </w:rPr>
        <w:t>科技企业赋能站”等平台，为企业提供创新能力支撑、产业资源配置等矩阵式服务。组织开展朝阳区科技计划项目，对科学技术研究开发、科技服务业能力提升、创新创业生态环境建设等领域重点项目进行支持与奖励。完善“揭榜挂帅”“赛马”和创新产品迭代等机制，鼓励企业在设备更新中采购首台（套）产品。</w:t>
      </w:r>
      <w:r>
        <w:rPr>
          <w:rFonts w:ascii="Times New Roman" w:eastAsia="楷体_GB2312" w:hAnsi="Times New Roman"/>
          <w:sz w:val="32"/>
          <w:szCs w:val="32"/>
          <w:shd w:val="clear" w:color="auto" w:fill="FFFFFF"/>
        </w:rPr>
        <w:t>（责任单位：朝阳园管委会区科学技术和信息化局、区数据局、区国资委、区发展改革委）</w:t>
      </w:r>
    </w:p>
    <w:p>
      <w:pPr>
        <w:autoSpaceDE w:val="0"/>
        <w:autoSpaceDN w:val="0"/>
        <w:adjustRightInd w:val="0"/>
        <w:spacing w:line="560" w:lineRule="exact"/>
        <w:ind w:firstLineChars="200" w:firstLine="640"/>
        <w:rPr>
          <w:rFonts w:ascii="Times New Roman" w:eastAsia="楷体_GB2312" w:hAnsi="Times New Roman"/>
          <w:sz w:val="32"/>
          <w:szCs w:val="32"/>
          <w:shd w:val="clear" w:color="auto" w:fill="FFFFFF"/>
        </w:rPr>
      </w:pPr>
      <w:r>
        <w:rPr>
          <w:rFonts w:ascii="Times New Roman" w:eastAsia="仿宋_GB2312" w:hAnsi="Times New Roman"/>
          <w:b/>
          <w:bCs/>
          <w:sz w:val="32"/>
          <w:szCs w:val="32"/>
          <w:shd w:val="clear" w:color="auto" w:fill="FFFFFF"/>
        </w:rPr>
        <w:t>6.加大宣传活动力度。</w:t>
      </w:r>
      <w:r>
        <w:rPr>
          <w:rFonts w:ascii="Times New Roman" w:eastAsia="仿宋_GB2312" w:hAnsi="Times New Roman"/>
          <w:sz w:val="32"/>
          <w:szCs w:val="32"/>
        </w:rPr>
        <w:t>各部门、各街乡要做好相关政策解读，全面、准确宣传我区推动设备更新和消费品以旧换新的支持政策。全面</w:t>
      </w:r>
      <w:r>
        <w:rPr>
          <w:rFonts w:ascii="Times New Roman" w:eastAsia="仿宋_GB2312" w:hAnsi="Times New Roman" w:hint="eastAsia"/>
          <w:sz w:val="32"/>
          <w:szCs w:val="32"/>
        </w:rPr>
        <w:t>调动</w:t>
      </w:r>
      <w:r>
        <w:rPr>
          <w:rFonts w:ascii="Times New Roman" w:eastAsia="仿宋_GB2312" w:hAnsi="Times New Roman"/>
          <w:sz w:val="32"/>
          <w:szCs w:val="32"/>
        </w:rPr>
        <w:t>各方积极性，搭建各类业务对接交流合作平台，汇聚政府、企业、科研机构和公众等力量，打好“政策、市场、科技、社会”组合拳。更好发挥政策导向作用，充分激发生产企业、平台企业、回收企业、拆解企业等多方积极性，将良好的政策初衷落到实处。动员社会公众积极参与，依托亮马河国际风情水岸、CBD×三里屯国际消费体验区等重点区域，举办“潮朝阳”消费季等各类特色促消费活动。结合全国节能宣传周、全国生态日等时间节点，广泛开展节能降碳宣传教育，倡导绿色消费理念，积极营造良好氛围。</w:t>
      </w:r>
      <w:r>
        <w:rPr>
          <w:rFonts w:ascii="Times New Roman" w:eastAsia="楷体_GB2312" w:hAnsi="Times New Roman"/>
          <w:sz w:val="32"/>
          <w:szCs w:val="32"/>
          <w:shd w:val="clear" w:color="auto" w:fill="FFFFFF"/>
        </w:rPr>
        <w:t>（责任单位：区发展改革委、区财政局、区商务局、区国资委、区住房城乡建设委、区城市管理委、区交通委、朝阳园管委会区科学技术和信息化局、区数据局、区教委、区卫生健康委、区文化和旅游局、区民政局、区农业农村局）</w:t>
      </w:r>
    </w:p>
    <w:p>
      <w:pPr>
        <w:autoSpaceDE w:val="0"/>
        <w:autoSpaceDN w:val="0"/>
        <w:adjustRightInd w:val="0"/>
        <w:spacing w:line="560" w:lineRule="exact"/>
        <w:rPr>
          <w:rFonts w:ascii="Times New Roman" w:eastAsia="仿宋_GB2312" w:hAnsi="Times New Roman"/>
          <w:color w:val="000000"/>
          <w:kern w:val="0"/>
          <w:sz w:val="28"/>
          <w:szCs w:val="32"/>
          <w:lang w:bidi="en-US"/>
        </w:rPr>
      </w:pPr>
    </w:p>
    <w:sectPr>
      <w:footerReference w:type="default" r:id="rId2"/>
      <w:pgSz w:w="11906" w:h="16838"/>
      <w:pgMar w:top="1417" w:right="1474" w:bottom="1417" w:left="1587" w:header="851" w:footer="850" w:gutter="0"/>
      <w:docGrid w:type="lines" w:linePitch="318"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AFF" w:usb1="C0007841" w:usb2="00000009" w:usb3="00000000" w:csb0="000001FF" w:csb1="00000000"/>
  </w:font>
  <w:font w:name="华文中宋">
    <w:altName w:val="微软雅黑"/>
    <w:panose1 w:val="02010600040101010101"/>
    <w:charset w:val="86"/>
    <w:family w:val="auto"/>
    <w:pitch w:val="variable"/>
    <w:sig w:usb0="00000287" w:usb1="080F0000" w:usb2="00000010" w:usb3="00000000" w:csb0="0004009F" w:csb1="00000000"/>
  </w:font>
  <w:font w:name="方正小标宋简体">
    <w:altName w:val="微软雅黑"/>
    <w:panose1 w:val="03000509000000000000"/>
    <w:charset w:val="86"/>
    <w:family w:val="script"/>
    <w:pitch w:val="variable"/>
    <w:sig w:usb0="00000001" w:usb1="080E0000" w:usb2="00000010" w:usb3="00000000" w:csb0="00040000" w:csb1="00000000"/>
  </w:font>
  <w:font w:name="仿宋_GB2312">
    <w:altName w:val="仿宋"/>
    <w:panose1 w:val="02010609030101010101"/>
    <w:charset w:val="86"/>
    <w:family w:val="modern"/>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楷体_GB2312">
    <w:altName w:val="楷体"/>
    <w:panose1 w:val="02010609030101010101"/>
    <w:charset w:val="86"/>
    <w:family w:val="modern"/>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altName w:val="微软雅黑"/>
    <w:panose1 w:val="020B0604020202020204"/>
    <w:charset w:val="86"/>
    <w:family w:val="swiss"/>
    <w:pitch w:val="variable"/>
    <w:sig w:usb0="F7FFAFFF" w:usb1="E9DFFFFF" w:usb2="0000003F" w:usb3="00000000" w:csb0="003F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913794094"/>
    </w:sdtPr>
    <w:sdtContent>
      <w:p>
        <w:pPr>
          <w:pStyle w:val="21"/>
          <w:tabs>
            <w:tab w:val="center" w:pos="4153"/>
            <w:tab w:val="right" w:pos="8306"/>
          </w:tabs>
          <w:jc w:val="cente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lang w:val="zh-CN"/>
          </w:rPr>
          <w:t>11</w:t>
        </w:r>
        <w:r>
          <w:rPr>
            <w:rFonts w:ascii="Times New Roman" w:hAnsi="Times New Roman"/>
            <w:lang w:val="zh-CN"/>
          </w:rPr>
          <w:fldChar w:fldCharType="end"/>
        </w:r>
      </w:p>
    </w:sdtContent>
  </w:sdt>
  <w:p>
    <w:pPr>
      <w:pStyle w:val="21"/>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efaultTabStop w:val="420"/>
  <w:drawingGridHorizontalSpacing w:val="105"/>
  <w:drawingGridVerticalSpacing w:val="159"/>
  <w:displayHorizontalDrawingGridEvery w:val="0"/>
  <w:displayVerticalDrawingGridEvery w:val="2"/>
  <w:noPunctuationKerning/>
  <w:characterSpacingControl w:val="compressPunctuation"/>
  <w:compat>
    <w:spaceForUL/>
    <w:balanceSingleByteDoubleByteWidth/>
    <w:ulTrailSpace/>
    <w:doNotExpandShiftReturn/>
    <w:adjustLineHeightInTable/>
    <w:compatSetting w:name="compatibilityMode" w:uri="http://schemas.microsoft.com/office/word" w:val="15"/>
  </w:compat>
  <w:docVars>
    <w:docVar w:name="commondata" w:val="eyJoZGlkIjoiNTNiMmI4MzZlMzViYTRiNjMyMzRiYmRlZDVkMmMxN2U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next w:val="16"/>
    <w:pPr>
      <w:widowControl w:val="0"/>
      <w:jc w:val="both"/>
    </w:pPr>
    <w:rPr>
      <w:rFonts w:ascii="Calibri" w:eastAsia="宋体" w:cs="Times New Roman" w:hAnsi="Calibri"/>
      <w:kern w:val="2"/>
      <w:sz w:val="21"/>
      <w:szCs w:val="22"/>
      <w:lang w:val="en-US" w:eastAsia="zh-CN" w:bidi="ar-SA"/>
    </w:rPr>
  </w:style>
  <w:style w:type="paragraph" w:styleId="1">
    <w:name w:val="heading 1"/>
    <w:qFormat/>
    <w:basedOn w:val="0"/>
    <w:next w:val="0"/>
    <w:pPr>
      <w:keepNext/>
      <w:keepLines/>
      <w:spacing w:before="340" w:after="330" w:line="578" w:lineRule="auto"/>
      <w:outlineLvl w:val="0"/>
    </w:pPr>
    <w:rPr>
      <w:b/>
      <w:bCs/>
      <w:kern w:val="44"/>
      <w:sz w:val="44"/>
    </w:rPr>
  </w:style>
  <w:style w:type="paragraph" w:styleId="2">
    <w:name w:val="heading 2"/>
    <w:qFormat/>
    <w:basedOn w:val="0"/>
    <w:next w:val="0"/>
    <w:pPr>
      <w:keepNext/>
      <w:keepLines/>
      <w:spacing w:before="260" w:after="260" w:line="415" w:lineRule="auto"/>
      <w:outlineLvl w:val="1"/>
    </w:pPr>
    <w:rPr>
      <w:rFonts w:ascii="Times New Roman" w:eastAsia="黑体" w:hAnsi="Times New Roman"/>
      <w:b/>
      <w:sz w:val="32"/>
    </w:rPr>
  </w:style>
  <w:style w:type="paragraph" w:styleId="3">
    <w:name w:val="heading 3"/>
    <w:qFormat/>
    <w:basedOn w:val="0"/>
    <w:next w:val="0"/>
    <w:pPr>
      <w:keepNext/>
      <w:keepLines/>
      <w:spacing w:before="260" w:after="260" w:line="415" w:lineRule="auto"/>
      <w:outlineLvl w:val="2"/>
    </w:pPr>
    <w:rPr>
      <w:b/>
      <w:sz w:val="32"/>
    </w:rPr>
  </w:style>
  <w:style w:type="character" w:default="1" w:styleId="10">
    <w:name w:val="Default Paragraph Font"/>
    <w:qFormat/>
  </w:style>
  <w:style w:type="paragraph" w:styleId="15">
    <w:name w:val="Body Text"/>
    <w:qFormat/>
    <w:basedOn w:val="0"/>
    <w:next w:val="17"/>
    <w:pPr>
      <w:spacing w:after="120"/>
    </w:pPr>
    <w:rPr>
      <w:rFonts w:ascii="Times New Roman" w:eastAsia="Arial Unicode MS" w:cs="Arial Unicode MS" w:hAnsi="Times New Roman"/>
      <w:color w:val="000000"/>
      <w:szCs w:val="21"/>
      <w:u w:color="000000"/>
    </w:rPr>
  </w:style>
  <w:style w:type="paragraph" w:styleId="16">
    <w:name w:val="Body Text First Indent"/>
    <w:qFormat/>
    <w:basedOn w:val="15"/>
    <w:pPr>
      <w:spacing w:before="190"/>
      <w:ind w:firstLineChars="100" w:firstLine="100"/>
    </w:pPr>
    <w:rPr>
      <w:rFonts w:cs="宋体"/>
      <w:sz w:val="32"/>
      <w:szCs w:val="32"/>
    </w:rPr>
  </w:style>
  <w:style w:type="paragraph" w:styleId="17">
    <w:name w:val="index 5"/>
    <w:qFormat/>
    <w:basedOn w:val="0"/>
    <w:next w:val="0"/>
    <w:pPr>
      <w:spacing w:line="560" w:lineRule="exact"/>
      <w:ind w:firstLineChars="200" w:firstLine="200"/>
    </w:pPr>
    <w:rPr>
      <w:rFonts w:ascii="黑体" w:eastAsia="黑体"/>
      <w:sz w:val="32"/>
      <w:szCs w:val="32"/>
    </w:rPr>
  </w:style>
  <w:style w:type="paragraph" w:styleId="18">
    <w:name w:val="Body Text Indent"/>
    <w:qFormat/>
    <w:basedOn w:val="0"/>
    <w:next w:val="0"/>
    <w:pPr>
      <w:spacing w:after="120"/>
      <w:ind w:leftChars="200" w:left="200"/>
    </w:pPr>
    <w:rPr>
      <w:rFonts w:ascii="Times New Roman" w:hAnsi="Times New Roman"/>
      <w:szCs w:val="24"/>
    </w:rPr>
  </w:style>
  <w:style w:type="paragraph" w:styleId="19">
    <w:name w:val="Date"/>
    <w:qFormat/>
    <w:basedOn w:val="0"/>
    <w:next w:val="0"/>
    <w:pPr>
      <w:ind w:leftChars="2500" w:left="2500"/>
    </w:pPr>
  </w:style>
  <w:style w:type="paragraph" w:styleId="20">
    <w:name w:val="Balloon Text"/>
    <w:qFormat/>
    <w:basedOn w:val="0"/>
    <w:rPr>
      <w:sz w:val="18"/>
      <w:szCs w:val="18"/>
    </w:rPr>
  </w:style>
  <w:style w:type="paragraph" w:styleId="21">
    <w:name w:val="footer"/>
    <w:qFormat/>
    <w:basedOn w:val="0"/>
    <w:pPr>
      <w:tabs>
        <w:tab w:val="center" w:pos="4153"/>
        <w:tab w:val="right" w:pos="8306"/>
      </w:tabs>
      <w:snapToGrid w:val="0"/>
      <w:jc w:val="left"/>
    </w:pPr>
    <w:rPr>
      <w:sz w:val="18"/>
      <w:szCs w:val="18"/>
    </w:rPr>
  </w:style>
  <w:style w:type="paragraph" w:styleId="22">
    <w:name w:val="Body Text First Indent 2"/>
    <w:qFormat/>
    <w:basedOn w:val="18"/>
    <w:next w:val="0"/>
    <w:pPr>
      <w:ind w:firstLineChars="200" w:firstLine="200"/>
    </w:pPr>
  </w:style>
  <w:style w:type="paragraph" w:styleId="23">
    <w:name w:val="header"/>
    <w:qFormat/>
    <w:basedOn w:val="0"/>
    <w:pPr>
      <w:pBdr>
        <w:bottom w:val="single" w:sz="6" w:space="1" w:color="auto"/>
      </w:pBdr>
      <w:tabs>
        <w:tab w:val="center" w:pos="4153"/>
        <w:tab w:val="right" w:pos="8306"/>
      </w:tabs>
      <w:snapToGrid w:val="0"/>
      <w:jc w:val="center"/>
    </w:pPr>
    <w:rPr>
      <w:sz w:val="18"/>
      <w:szCs w:val="18"/>
    </w:rPr>
  </w:style>
  <w:style w:type="paragraph" w:styleId="24">
    <w:name w:val="footnote text"/>
    <w:qFormat/>
    <w:basedOn w:val="0"/>
    <w:pPr>
      <w:snapToGrid w:val="0"/>
      <w:jc w:val="left"/>
    </w:pPr>
    <w:rPr>
      <w:rFonts w:ascii="Times New Roman" w:eastAsia="Arial Unicode MS" w:cs="Arial Unicode MS" w:hAnsi="Times New Roman"/>
      <w:color w:val="000000"/>
      <w:sz w:val="18"/>
      <w:szCs w:val="21"/>
      <w:u w:color="000000"/>
    </w:rPr>
  </w:style>
  <w:style w:type="paragraph" w:styleId="25">
    <w:name w:val="Normal (Web)"/>
    <w:qFormat/>
    <w:basedOn w:val="0"/>
    <w:pPr>
      <w:widowControl/>
      <w:spacing w:before="100" w:beforeAutospacing="1" w:after="100" w:afterAutospacing="1"/>
      <w:jc w:val="left"/>
    </w:pPr>
    <w:rPr>
      <w:rFonts w:ascii="宋体" w:cs="宋体"/>
      <w:bCs/>
      <w:kern w:val="0"/>
      <w:sz w:val="24"/>
      <w:szCs w:val="24"/>
    </w:rPr>
  </w:style>
  <w:style w:type="character" w:styleId="26">
    <w:name w:val="footnote reference"/>
    <w:qFormat/>
    <w:basedOn w:val="10"/>
    <w:rPr>
      <w:vertAlign w:val="superscript"/>
    </w:rPr>
  </w:style>
  <w:style w:type="paragraph" w:customStyle="1" w:styleId="27">
    <w:name w:val="A—正文"/>
    <w:qFormat/>
    <w:basedOn w:val="0"/>
    <w:pPr>
      <w:spacing w:line="600" w:lineRule="exact"/>
      <w:ind w:firstLineChars="200" w:firstLine="200"/>
    </w:pPr>
    <w:rPr>
      <w:rFonts w:ascii="Times New Roman" w:eastAsia="仿宋_GB2312" w:hAnsi="Times New Roman"/>
      <w:sz w:val="32"/>
      <w:szCs w:val="32"/>
    </w:rPr>
  </w:style>
  <w:style w:type="paragraph" w:customStyle="1" w:styleId="28">
    <w:name w:val="正文-未来城"/>
    <w:qFormat/>
    <w:basedOn w:val="0"/>
    <w:pPr>
      <w:spacing w:line="560" w:lineRule="exact"/>
      <w:ind w:firstLineChars="200" w:firstLine="200"/>
    </w:pPr>
    <w:rPr>
      <w:rFonts w:ascii="Times New Roman" w:eastAsia="仿宋_GB2312" w:hAnsi="Times New Roman"/>
      <w:bCs/>
      <w:kern w:val="0"/>
      <w:sz w:val="32"/>
      <w:szCs w:val="32"/>
      <w:u w:color="000000"/>
      <w:lang w:val="zh-CN"/>
    </w:rPr>
  </w:style>
  <w:style w:type="paragraph" w:customStyle="1" w:styleId="29">
    <w:name w:val="修订1"/>
    <w:qFormat/>
    <w:rPr>
      <w:rFonts w:ascii="Calibri" w:eastAsia="宋体" w:cs="Times New Roman" w:hAnsi="Calibri"/>
      <w:kern w:val="2"/>
      <w:sz w:val="21"/>
      <w:szCs w:val="22"/>
      <w:lang w:val="en-US" w:eastAsia="zh-CN" w:bidi="ar-SA"/>
    </w:rPr>
  </w:style>
  <w:style w:type="paragraph" w:customStyle="1" w:styleId="30">
    <w:name w:val="修订2"/>
    <w:qFormat/>
    <w:rPr>
      <w:rFonts w:ascii="Calibri" w:eastAsia="宋体" w:cs="Times New Roman" w:hAnsi="Calibri"/>
      <w:kern w:val="2"/>
      <w:sz w:val="21"/>
      <w:szCs w:val="22"/>
      <w:lang w:val="en-US" w:eastAsia="zh-CN" w:bidi="ar-SA"/>
    </w:rPr>
  </w:style>
  <w:style w:type="character" w:customStyle="1" w:styleId="31">
    <w:name w:val="font111"/>
    <w:qFormat/>
    <w:basedOn w:val="10"/>
    <w:rPr>
      <w:rFonts w:ascii="方正小标宋简体" w:eastAsia="方正小标宋简体" w:cs="方正小标宋简体"/>
      <w:color w:val="000000"/>
      <w:sz w:val="40"/>
      <w:szCs w:val="40"/>
      <w:u w:val="none"/>
    </w:rPr>
  </w:style>
  <w:style w:type="character" w:customStyle="1" w:styleId="32">
    <w:name w:val="font41"/>
    <w:qFormat/>
    <w:basedOn w:val="10"/>
    <w:rPr>
      <w:rFonts w:ascii="Times New Roman" w:cs="Times New Roman" w:hAnsi="Times New Roman"/>
      <w:color w:val="000000"/>
      <w:sz w:val="40"/>
      <w:szCs w:val="40"/>
      <w:u w:val="none"/>
    </w:rPr>
  </w:style>
  <w:style w:type="character" w:customStyle="1" w:styleId="33">
    <w:name w:val="font13"/>
    <w:qFormat/>
    <w:basedOn w:val="10"/>
    <w:rPr>
      <w:rFonts w:ascii="黑体" w:eastAsia="黑体" w:cs="黑体"/>
      <w:color w:val="000000"/>
      <w:sz w:val="28"/>
      <w:szCs w:val="28"/>
      <w:u w:val="none"/>
    </w:rPr>
  </w:style>
  <w:style w:type="character" w:customStyle="1" w:styleId="34">
    <w:name w:val="font121"/>
    <w:qFormat/>
    <w:basedOn w:val="10"/>
    <w:rPr>
      <w:rFonts w:ascii="Times New Roman" w:cs="Times New Roman" w:hAnsi="Times New Roman"/>
      <w:color w:val="000000"/>
      <w:sz w:val="28"/>
      <w:szCs w:val="28"/>
      <w:u w:val="none"/>
    </w:rPr>
  </w:style>
  <w:style w:type="character" w:customStyle="1" w:styleId="35">
    <w:name w:val="font51"/>
    <w:qFormat/>
    <w:basedOn w:val="10"/>
    <w:rPr>
      <w:rFonts w:ascii="仿宋_GB2312" w:eastAsia="仿宋_GB2312" w:cs="仿宋_GB2312"/>
      <w:color w:val="000000"/>
      <w:sz w:val="28"/>
      <w:szCs w:val="28"/>
      <w:u w:val="none"/>
    </w:rPr>
  </w:style>
  <w:style w:type="character" w:customStyle="1" w:styleId="36">
    <w:name w:val="font71"/>
    <w:qFormat/>
    <w:basedOn w:val="10"/>
    <w:rPr>
      <w:rFonts w:ascii="Times New Roman" w:cs="Times New Roman" w:hAnsi="Times New Roman"/>
      <w:color w:val="000000"/>
      <w:sz w:val="28"/>
      <w:szCs w:val="28"/>
      <w:u w:val="none"/>
    </w:rPr>
  </w:style>
  <w:style w:type="character" w:customStyle="1" w:styleId="37">
    <w:name w:val="font61"/>
    <w:qFormat/>
    <w:basedOn w:val="10"/>
    <w:rPr>
      <w:rFonts w:ascii="宋体" w:eastAsia="宋体" w:cs="宋体"/>
      <w:color w:val="000000"/>
      <w:sz w:val="28"/>
      <w:szCs w:val="28"/>
      <w:u w:val="none"/>
    </w:rPr>
  </w:style>
  <w:style w:type="character" w:customStyle="1" w:styleId="38">
    <w:name w:val="font01"/>
    <w:qFormat/>
    <w:basedOn w:val="10"/>
    <w:rPr>
      <w:rFonts w:ascii="Times New Roman" w:cs="Times New Roman" w:hAnsi="Times New Roman"/>
      <w:color w:val="000000"/>
      <w:sz w:val="28"/>
      <w:szCs w:val="28"/>
      <w:u w:val="none"/>
      <w:vertAlign w:val="superscript"/>
    </w:rPr>
  </w:style>
  <w:style w:type="character" w:customStyle="1" w:styleId="39">
    <w:name w:val="font91"/>
    <w:qFormat/>
    <w:basedOn w:val="10"/>
    <w:rPr>
      <w:rFonts w:ascii="黑体" w:eastAsia="黑体" w:cs="黑体"/>
      <w:color w:val="000000"/>
      <w:sz w:val="28"/>
      <w:szCs w:val="28"/>
      <w:u w:val="none"/>
    </w:rPr>
  </w:style>
  <w:style w:type="character" w:customStyle="1" w:styleId="40">
    <w:name w:val="font21"/>
    <w:qFormat/>
    <w:basedOn w:val="10"/>
    <w:rPr>
      <w:rFonts w:ascii="Times New Roman" w:cs="Times New Roman" w:hAnsi="Times New Roman"/>
      <w:color w:val="000000"/>
      <w:sz w:val="28"/>
      <w:szCs w:val="28"/>
      <w:u w:val="none"/>
    </w:rPr>
  </w:style>
  <w:style w:type="character" w:customStyle="1" w:styleId="41">
    <w:name w:val="font31"/>
    <w:qFormat/>
    <w:basedOn w:val="10"/>
    <w:rPr>
      <w:rFonts w:ascii="Times New Roman" w:cs="Times New Roman" w:hAnsi="Times New Roman"/>
      <w:color w:val="000000"/>
      <w:sz w:val="28"/>
      <w:szCs w:val="28"/>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34</TotalTime>
  <Application>Yozo_Office27021597764231180</Application>
  <Pages>12</Pages>
  <Words>0</Words>
  <Characters>5353</Characters>
  <Lines>0</Lines>
  <Paragraphs>75</Paragraphs>
  <CharactersWithSpaces>7138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规划科-李明慧</dc:creator>
  <cp:lastModifiedBy>123</cp:lastModifiedBy>
  <cp:revision>3</cp:revision>
  <cp:lastPrinted>2024-02-19T07:06:00Z</cp:lastPrinted>
  <dcterms:created xsi:type="dcterms:W3CDTF">2024-02-23T01:23:00Z</dcterms:created>
  <dcterms:modified xsi:type="dcterms:W3CDTF">2024-05-17T03:27:24Z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2052-10.8.0.6308</vt:lpwstr>
  </property>
  <property fmtid="{D5CDD505-2E9C-101B-9397-08002B2CF9AE}" pid="3" name="ICV">
    <vt:lpwstr>684B21F3E0BC4A7188C5459CC3761EC1_13</vt:lpwstr>
  </property>
</Properties>
</file>