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line="600" w:lineRule="exact"/>
        <w:ind w:left="0" w:leftChars="0" w:right="0" w:rightChars="0"/>
        <w:jc w:val="center"/>
        <w:textAlignment w:val="auto"/>
        <w:rPr>
          <w:rFonts w:hint="eastAsia" w:ascii="Times New Roman" w:hAnsi="Times New Roman" w:eastAsia="方正小标宋简体"/>
          <w:snapToGrid w:val="0"/>
          <w:kern w:val="0"/>
          <w:sz w:val="44"/>
          <w:lang w:eastAsia="zh-CN"/>
        </w:rPr>
      </w:pPr>
      <w:r>
        <w:rPr>
          <w:rFonts w:hint="eastAsia" w:ascii="Times New Roman" w:hAnsi="Times New Roman" w:eastAsia="方正小标宋简体"/>
          <w:snapToGrid w:val="0"/>
          <w:kern w:val="0"/>
          <w:sz w:val="44"/>
          <w:lang w:eastAsia="zh-CN"/>
        </w:rPr>
        <w:t>北京市朝阳区人民政府</w:t>
      </w:r>
    </w:p>
    <w:p>
      <w:pPr>
        <w:keepNext w:val="0"/>
        <w:keepLines w:val="0"/>
        <w:pageBreakBefore w:val="0"/>
        <w:widowControl w:val="0"/>
        <w:kinsoku/>
        <w:wordWrap/>
        <w:overflowPunct/>
        <w:topLinePunct/>
        <w:autoSpaceDE/>
        <w:autoSpaceDN/>
        <w:bidi w:val="0"/>
        <w:adjustRightInd w:val="0"/>
        <w:snapToGrid w:val="0"/>
        <w:spacing w:line="600" w:lineRule="exact"/>
        <w:ind w:left="0" w:leftChars="0" w:right="0" w:rightChars="0"/>
        <w:jc w:val="center"/>
        <w:textAlignment w:val="auto"/>
        <w:rPr>
          <w:rFonts w:hint="eastAsia" w:ascii="Times New Roman" w:hAnsi="Times New Roman" w:eastAsia="方正小标宋简体"/>
          <w:snapToGrid w:val="0"/>
          <w:kern w:val="0"/>
          <w:sz w:val="44"/>
          <w:lang w:eastAsia="zh-CN"/>
        </w:rPr>
      </w:pPr>
      <w:r>
        <w:rPr>
          <w:rFonts w:hint="eastAsia" w:ascii="Times New Roman" w:hAnsi="Times New Roman" w:eastAsia="方正小标宋简体"/>
          <w:snapToGrid w:val="0"/>
          <w:kern w:val="0"/>
          <w:sz w:val="44"/>
          <w:lang w:val="en-US" w:eastAsia="zh-CN"/>
        </w:rPr>
        <w:t>2020年度绩效管理工作总结</w:t>
      </w:r>
    </w:p>
    <w:p>
      <w:pPr>
        <w:keepNext w:val="0"/>
        <w:keepLines w:val="0"/>
        <w:pageBreakBefore w:val="0"/>
        <w:widowControl w:val="0"/>
        <w:numPr>
          <w:ilvl w:val="0"/>
          <w:numId w:val="0"/>
        </w:numPr>
        <w:kinsoku/>
        <w:wordWrap/>
        <w:overflowPunct/>
        <w:topLinePunct w:val="0"/>
        <w:autoSpaceDE/>
        <w:autoSpaceDN/>
        <w:bidi w:val="0"/>
        <w:adjustRightInd/>
        <w:snapToGrid/>
        <w:spacing w:before="223" w:beforeLines="50" w:line="600" w:lineRule="exact"/>
        <w:ind w:left="0" w:leftChars="0" w:right="0" w:rightChars="0" w:firstLine="640" w:firstLineChars="200"/>
        <w:jc w:val="both"/>
        <w:textAlignment w:val="auto"/>
        <w:outlineLvl w:val="9"/>
        <w:rPr>
          <w:rFonts w:hint="eastAsia" w:ascii="仿宋_GB2312" w:hAnsi="仿宋_GB2312" w:eastAsia="黑体"/>
          <w:sz w:val="32"/>
          <w:szCs w:val="32"/>
          <w:highlight w:val="none"/>
          <w:u w:val="none"/>
        </w:rPr>
      </w:pPr>
      <w:r>
        <w:rPr>
          <w:rFonts w:hint="eastAsia" w:ascii="仿宋_GB2312" w:hAnsi="仿宋_GB2312" w:eastAsia="黑体"/>
          <w:sz w:val="32"/>
          <w:szCs w:val="32"/>
          <w:highlight w:val="none"/>
          <w:u w:val="none"/>
          <w:lang w:eastAsia="zh-CN"/>
        </w:rPr>
        <w:t>一、</w:t>
      </w:r>
      <w:r>
        <w:rPr>
          <w:rFonts w:hint="eastAsia" w:ascii="仿宋_GB2312" w:hAnsi="仿宋_GB2312" w:eastAsia="黑体"/>
          <w:sz w:val="32"/>
          <w:szCs w:val="32"/>
          <w:highlight w:val="none"/>
          <w:u w:val="none"/>
        </w:rPr>
        <w:t>基本情况</w:t>
      </w:r>
    </w:p>
    <w:p>
      <w:pPr>
        <w:keepNext w:val="0"/>
        <w:keepLines w:val="0"/>
        <w:pageBreakBefore w:val="0"/>
        <w:widowControl w:val="0"/>
        <w:kinsoku/>
        <w:wordWrap/>
        <w:overflowPunct/>
        <w:topLinePunct/>
        <w:autoSpaceDE/>
        <w:autoSpaceDN/>
        <w:bidi w:val="0"/>
        <w:adjustRightInd/>
        <w:snapToGrid w:val="0"/>
        <w:spacing w:line="600" w:lineRule="exact"/>
        <w:ind w:left="0" w:leftChars="0" w:right="0" w:rightChars="0" w:firstLine="640" w:firstLineChars="200"/>
        <w:jc w:val="both"/>
        <w:textAlignment w:val="auto"/>
        <w:rPr>
          <w:rFonts w:ascii="仿宋_GB2312" w:hAnsi="仿宋_GB2312" w:eastAsia="仿宋_GB2312"/>
          <w:snapToGrid w:val="0"/>
          <w:kern w:val="0"/>
          <w:sz w:val="32"/>
          <w:szCs w:val="32"/>
          <w:highlight w:val="none"/>
          <w:u w:val="none"/>
        </w:rPr>
      </w:pPr>
      <w:r>
        <w:rPr>
          <w:rFonts w:hint="eastAsia" w:ascii="仿宋_GB2312" w:hAnsi="仿宋_GB2312" w:eastAsia="仿宋_GB2312" w:cs="仿宋_GB2312"/>
          <w:snapToGrid w:val="0"/>
          <w:color w:val="000000"/>
          <w:kern w:val="0"/>
          <w:sz w:val="32"/>
          <w:szCs w:val="32"/>
          <w:highlight w:val="none"/>
          <w:u w:val="none"/>
          <w:lang w:val="en-US" w:eastAsia="zh-CN"/>
        </w:rPr>
        <w:t>朝阳区</w:t>
      </w:r>
      <w:r>
        <w:rPr>
          <w:rFonts w:hint="eastAsia" w:ascii="仿宋_GB2312" w:hAnsi="仿宋_GB2312" w:eastAsia="仿宋_GB2312" w:cs="仿宋_GB2312"/>
          <w:snapToGrid w:val="0"/>
          <w:color w:val="000000"/>
          <w:kern w:val="0"/>
          <w:sz w:val="32"/>
          <w:szCs w:val="32"/>
          <w:highlight w:val="none"/>
          <w:u w:val="none"/>
        </w:rPr>
        <w:t>坚持</w:t>
      </w:r>
      <w:r>
        <w:rPr>
          <w:rFonts w:hint="eastAsia" w:ascii="仿宋_GB2312" w:hAnsi="仿宋_GB2312" w:eastAsia="仿宋_GB2312"/>
          <w:snapToGrid w:val="0"/>
          <w:kern w:val="0"/>
          <w:sz w:val="32"/>
          <w:szCs w:val="32"/>
          <w:highlight w:val="none"/>
          <w:u w:val="none"/>
        </w:rPr>
        <w:t>以习近平新时代中国特色社会主义思想为指导，</w:t>
      </w:r>
      <w:r>
        <w:rPr>
          <w:rFonts w:hint="eastAsia" w:ascii="仿宋_GB2312" w:hAnsi="仿宋_GB2312" w:eastAsia="仿宋_GB2312" w:cs="仿宋_GB2312"/>
          <w:snapToGrid w:val="0"/>
          <w:color w:val="000000"/>
          <w:kern w:val="0"/>
          <w:sz w:val="32"/>
          <w:szCs w:val="32"/>
          <w:highlight w:val="none"/>
          <w:u w:val="none"/>
        </w:rPr>
        <w:t>深入贯彻党的十九大和十九届二中、三中、四中、五中全会</w:t>
      </w:r>
      <w:r>
        <w:rPr>
          <w:rFonts w:hint="eastAsia" w:ascii="仿宋_GB2312" w:hAnsi="仿宋_GB2312" w:eastAsia="仿宋_GB2312" w:cs="仿宋_GB2312"/>
          <w:snapToGrid w:val="0"/>
          <w:color w:val="000000"/>
          <w:kern w:val="0"/>
          <w:sz w:val="32"/>
          <w:szCs w:val="32"/>
          <w:highlight w:val="none"/>
          <w:u w:val="none"/>
          <w:lang w:eastAsia="zh-CN"/>
        </w:rPr>
        <w:t>和中央经济工作会议精神，以及</w:t>
      </w:r>
      <w:r>
        <w:rPr>
          <w:rFonts w:hint="eastAsia" w:ascii="仿宋_GB2312" w:hAnsi="仿宋_GB2312" w:eastAsia="仿宋_GB2312" w:cs="仿宋_GB2312"/>
          <w:snapToGrid w:val="0"/>
          <w:color w:val="000000"/>
          <w:kern w:val="0"/>
          <w:sz w:val="32"/>
          <w:szCs w:val="32"/>
          <w:highlight w:val="none"/>
          <w:u w:val="none"/>
        </w:rPr>
        <w:t>习近平总书记对北京重要讲话精神，按照市委十二届十五次、十六次全会部署，坚持稳中求进工作总基调，</w:t>
      </w:r>
      <w:r>
        <w:rPr>
          <w:rFonts w:hint="eastAsia" w:ascii="仿宋_GB2312" w:hAnsi="仿宋_GB2312" w:eastAsia="仿宋_GB2312"/>
          <w:snapToGrid w:val="0"/>
          <w:kern w:val="0"/>
          <w:sz w:val="32"/>
          <w:szCs w:val="32"/>
          <w:highlight w:val="none"/>
          <w:u w:val="none"/>
        </w:rPr>
        <w:t>统筹推进疫情防控和经济社会发展，</w:t>
      </w:r>
      <w:r>
        <w:rPr>
          <w:rFonts w:ascii="仿宋_GB2312" w:hAnsi="仿宋_GB2312" w:eastAsia="仿宋_GB2312"/>
          <w:snapToGrid w:val="0"/>
          <w:kern w:val="0"/>
          <w:sz w:val="32"/>
          <w:szCs w:val="32"/>
          <w:highlight w:val="none"/>
          <w:u w:val="none"/>
        </w:rPr>
        <w:t>扎实做好</w:t>
      </w:r>
      <w:r>
        <w:rPr>
          <w:rFonts w:hint="eastAsia" w:ascii="仿宋_GB2312" w:hAnsi="仿宋_GB2312" w:eastAsia="仿宋_GB2312"/>
          <w:snapToGrid w:val="0"/>
          <w:kern w:val="0"/>
          <w:sz w:val="32"/>
          <w:szCs w:val="32"/>
          <w:highlight w:val="none"/>
          <w:u w:val="none"/>
        </w:rPr>
        <w:t>“六稳”“六保”工作，积极培育新动能、新优势，较好完成了全年各项任务，实现了“十三五”发展顺利收官。</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年内，</w:t>
      </w:r>
      <w:r>
        <w:rPr>
          <w:rFonts w:hint="eastAsia" w:ascii="仿宋_GB2312" w:hAnsi="仿宋_GB2312" w:eastAsia="仿宋_GB2312" w:cs="仿宋_GB2312"/>
          <w:sz w:val="32"/>
          <w:szCs w:val="32"/>
          <w:highlight w:val="none"/>
          <w:u w:val="none"/>
          <w:lang w:eastAsia="zh-CN"/>
        </w:rPr>
        <w:t>习近平</w:t>
      </w:r>
      <w:r>
        <w:rPr>
          <w:rFonts w:hint="eastAsia" w:ascii="仿宋_GB2312" w:hAnsi="仿宋_GB2312" w:eastAsia="仿宋_GB2312" w:cs="仿宋_GB2312"/>
          <w:sz w:val="32"/>
          <w:szCs w:val="32"/>
          <w:highlight w:val="none"/>
          <w:u w:val="none"/>
          <w:lang w:val="en-US" w:eastAsia="zh-CN"/>
        </w:rPr>
        <w:t>总书记到</w:t>
      </w:r>
      <w:r>
        <w:rPr>
          <w:rFonts w:hint="eastAsia" w:ascii="仿宋_GB2312" w:hAnsi="仿宋_GB2312" w:eastAsia="仿宋_GB2312" w:cs="仿宋_GB2312"/>
          <w:color w:val="000000"/>
          <w:sz w:val="32"/>
          <w:szCs w:val="32"/>
          <w:highlight w:val="none"/>
          <w:u w:val="none"/>
          <w:lang w:eastAsia="zh-CN" w:bidi="ar"/>
        </w:rPr>
        <w:t>安贞街道</w:t>
      </w:r>
      <w:r>
        <w:rPr>
          <w:rFonts w:hint="eastAsia" w:ascii="仿宋_GB2312" w:hAnsi="仿宋_GB2312" w:eastAsia="仿宋_GB2312" w:cs="仿宋_GB2312"/>
          <w:color w:val="000000"/>
          <w:sz w:val="32"/>
          <w:szCs w:val="32"/>
          <w:highlight w:val="none"/>
          <w:u w:val="none"/>
          <w:lang w:bidi="ar"/>
        </w:rPr>
        <w:t>安华里社区</w:t>
      </w:r>
      <w:r>
        <w:rPr>
          <w:rFonts w:hint="eastAsia" w:ascii="仿宋_GB2312" w:hAnsi="仿宋_GB2312" w:eastAsia="仿宋_GB2312" w:cs="仿宋_GB2312"/>
          <w:sz w:val="32"/>
          <w:szCs w:val="32"/>
          <w:highlight w:val="none"/>
          <w:u w:val="none"/>
          <w:lang w:val="en-US" w:eastAsia="zh-CN"/>
        </w:rPr>
        <w:t>调研指导疫情防控工作，对</w:t>
      </w:r>
      <w:r>
        <w:rPr>
          <w:rFonts w:hint="eastAsia" w:ascii="仿宋_GB2312" w:hAnsi="仿宋_GB2312" w:eastAsia="仿宋_GB2312" w:cs="仿宋_GB2312"/>
          <w:color w:val="000000"/>
          <w:sz w:val="32"/>
          <w:szCs w:val="32"/>
          <w:highlight w:val="none"/>
          <w:u w:val="none"/>
          <w:lang w:bidi="ar"/>
        </w:rPr>
        <w:t>“六个一、六到位”</w:t>
      </w:r>
      <w:r>
        <w:rPr>
          <w:rFonts w:hint="eastAsia" w:ascii="仿宋_GB2312" w:hAnsi="仿宋_GB2312" w:eastAsia="仿宋_GB2312" w:cs="仿宋_GB2312"/>
          <w:color w:val="000000"/>
          <w:sz w:val="32"/>
          <w:szCs w:val="32"/>
          <w:highlight w:val="none"/>
          <w:u w:val="none"/>
          <w:lang w:eastAsia="zh-CN" w:bidi="ar"/>
        </w:rPr>
        <w:t>工作机制</w:t>
      </w:r>
      <w:r>
        <w:rPr>
          <w:rFonts w:hint="eastAsia" w:ascii="仿宋_GB2312" w:hAnsi="仿宋_GB2312" w:eastAsia="仿宋_GB2312" w:cs="仿宋_GB2312"/>
          <w:sz w:val="32"/>
          <w:szCs w:val="32"/>
          <w:highlight w:val="none"/>
          <w:u w:val="none"/>
          <w:lang w:val="en-US" w:eastAsia="zh-CN"/>
        </w:rPr>
        <w:t>给予充分肯定；</w:t>
      </w:r>
      <w:r>
        <w:rPr>
          <w:rFonts w:hint="eastAsia" w:ascii="仿宋_GB2312" w:hAnsi="仿宋_GB2312" w:eastAsia="仿宋_GB2312" w:cs="仿宋_GB2312"/>
          <w:sz w:val="32"/>
          <w:szCs w:val="32"/>
          <w:highlight w:val="none"/>
          <w:u w:val="none"/>
        </w:rPr>
        <w:t>国务院督查室</w:t>
      </w:r>
      <w:r>
        <w:rPr>
          <w:rFonts w:hint="eastAsia" w:ascii="仿宋_GB2312" w:hAnsi="仿宋_GB2312" w:eastAsia="仿宋_GB2312" w:cs="仿宋_GB2312"/>
          <w:sz w:val="32"/>
          <w:szCs w:val="32"/>
          <w:highlight w:val="none"/>
          <w:u w:val="none"/>
          <w:lang w:eastAsia="zh-CN"/>
        </w:rPr>
        <w:t>《督查工作信息》</w:t>
      </w:r>
      <w:r>
        <w:rPr>
          <w:rFonts w:hint="eastAsia" w:ascii="仿宋_GB2312" w:hAnsi="仿宋_GB2312" w:eastAsia="仿宋_GB2312" w:cs="仿宋_GB2312"/>
          <w:sz w:val="32"/>
          <w:szCs w:val="32"/>
          <w:highlight w:val="none"/>
          <w:u w:val="none"/>
        </w:rPr>
        <w:t>“北京广西和国资委认真核查群众反映六稳六保线索立行立改举一反三切实增强企业和群众获得感”对我区提出表扬</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预算绩效管理工作连续两年成效明显获通报表扬</w:t>
      </w:r>
      <w:r>
        <w:rPr>
          <w:rFonts w:hint="eastAsia" w:ascii="仿宋_GB2312" w:hAnsi="仿宋_GB2312" w:eastAsia="仿宋_GB2312" w:cs="仿宋_GB2312"/>
          <w:sz w:val="32"/>
          <w:szCs w:val="32"/>
          <w:highlight w:val="none"/>
          <w:u w:val="none"/>
          <w:lang w:eastAsia="zh-CN"/>
        </w:rPr>
        <w:t>；为</w:t>
      </w:r>
      <w:r>
        <w:rPr>
          <w:rFonts w:hint="eastAsia" w:ascii="仿宋_GB2312" w:hAnsi="仿宋_GB2312" w:eastAsia="仿宋_GB2312" w:cs="仿宋_GB2312"/>
          <w:sz w:val="32"/>
          <w:szCs w:val="32"/>
          <w:highlight w:val="none"/>
          <w:u w:val="none"/>
        </w:rPr>
        <w:t>“服务包”企业免费开通快递核酸检测服务</w:t>
      </w:r>
      <w:r>
        <w:rPr>
          <w:rFonts w:hint="eastAsia" w:ascii="仿宋_GB2312" w:hAnsi="仿宋_GB2312" w:eastAsia="仿宋_GB2312" w:cs="仿宋_GB2312"/>
          <w:sz w:val="32"/>
          <w:szCs w:val="32"/>
          <w:highlight w:val="none"/>
          <w:u w:val="none"/>
          <w:lang w:eastAsia="zh-CN"/>
        </w:rPr>
        <w:t>、统筹做好全时便利店经营调整</w:t>
      </w:r>
      <w:r>
        <w:rPr>
          <w:rFonts w:hint="eastAsia" w:ascii="仿宋_GB2312" w:hAnsi="仿宋_GB2312" w:eastAsia="仿宋_GB2312" w:cs="仿宋_GB2312"/>
          <w:sz w:val="32"/>
          <w:szCs w:val="32"/>
          <w:highlight w:val="none"/>
          <w:u w:val="none"/>
        </w:rPr>
        <w:t>等工作</w:t>
      </w:r>
      <w:r>
        <w:rPr>
          <w:rFonts w:hint="eastAsia" w:ascii="仿宋_GB2312" w:hAnsi="仿宋_GB2312" w:eastAsia="仿宋_GB2312" w:cs="仿宋_GB2312"/>
          <w:sz w:val="32"/>
          <w:szCs w:val="32"/>
          <w:highlight w:val="none"/>
          <w:u w:val="none"/>
          <w:lang w:eastAsia="zh-CN"/>
        </w:rPr>
        <w:t>获得</w:t>
      </w:r>
      <w:r>
        <w:rPr>
          <w:rFonts w:hint="eastAsia" w:ascii="仿宋_GB2312" w:hAnsi="仿宋_GB2312" w:eastAsia="仿宋_GB2312" w:cs="仿宋_GB2312"/>
          <w:sz w:val="32"/>
          <w:szCs w:val="32"/>
          <w:highlight w:val="none"/>
          <w:u w:val="none"/>
        </w:rPr>
        <w:t>市委市政府</w:t>
      </w:r>
      <w:r>
        <w:rPr>
          <w:rFonts w:hint="eastAsia" w:ascii="仿宋_GB2312" w:hAnsi="仿宋_GB2312" w:eastAsia="仿宋_GB2312" w:cs="仿宋_GB2312"/>
          <w:sz w:val="32"/>
          <w:szCs w:val="32"/>
          <w:highlight w:val="none"/>
          <w:u w:val="none"/>
          <w:lang w:eastAsia="zh-CN"/>
        </w:rPr>
        <w:t>主要领导肯定性批示；</w:t>
      </w:r>
      <w:r>
        <w:rPr>
          <w:rFonts w:hint="eastAsia" w:ascii="仿宋_GB2312" w:hAnsi="仿宋_GB2312" w:eastAsia="仿宋_GB2312" w:cs="仿宋_GB2312"/>
          <w:sz w:val="32"/>
          <w:szCs w:val="32"/>
          <w:highlight w:val="none"/>
          <w:u w:val="none"/>
        </w:rPr>
        <w:t>区政府</w:t>
      </w:r>
      <w:r>
        <w:rPr>
          <w:rFonts w:hint="eastAsia" w:ascii="仿宋_GB2312" w:hAnsi="仿宋_GB2312" w:eastAsia="仿宋_GB2312" w:cs="仿宋_GB2312"/>
          <w:sz w:val="32"/>
          <w:szCs w:val="32"/>
          <w:highlight w:val="none"/>
          <w:u w:val="none"/>
          <w:lang w:eastAsia="zh-CN"/>
        </w:rPr>
        <w:t>获得“全国双拥模范城”“国家卫生区”“全</w:t>
      </w:r>
      <w:r>
        <w:rPr>
          <w:rFonts w:hint="eastAsia" w:ascii="仿宋_GB2312" w:hAnsi="仿宋_GB2312" w:eastAsia="仿宋_GB2312" w:cs="仿宋_GB2312"/>
          <w:snapToGrid w:val="0"/>
          <w:color w:val="000000"/>
          <w:kern w:val="0"/>
          <w:sz w:val="32"/>
          <w:szCs w:val="32"/>
          <w:highlight w:val="none"/>
          <w:u w:val="none"/>
        </w:rPr>
        <w:t>国健康促进区</w:t>
      </w:r>
      <w:r>
        <w:rPr>
          <w:rFonts w:hint="eastAsia" w:ascii="仿宋_GB2312" w:hAnsi="仿宋_GB2312" w:eastAsia="仿宋_GB2312" w:cs="仿宋_GB2312"/>
          <w:sz w:val="32"/>
          <w:szCs w:val="32"/>
          <w:highlight w:val="none"/>
          <w:u w:val="none"/>
          <w:lang w:eastAsia="zh-CN"/>
        </w:rPr>
        <w:t>”“全国首批法治政府建设示范地区”等</w:t>
      </w:r>
      <w:r>
        <w:rPr>
          <w:rFonts w:hint="eastAsia" w:ascii="仿宋_GB2312" w:hAnsi="仿宋_GB2312" w:eastAsia="仿宋_GB2312" w:cs="仿宋_GB2312"/>
          <w:sz w:val="32"/>
          <w:szCs w:val="32"/>
          <w:highlight w:val="none"/>
          <w:u w:val="none"/>
        </w:rPr>
        <w:t>荣誉称号</w:t>
      </w:r>
      <w:r>
        <w:rPr>
          <w:rFonts w:hint="eastAsia" w:ascii="仿宋_GB2312" w:hAnsi="仿宋_GB2312" w:eastAsia="仿宋_GB2312" w:cs="仿宋_GB2312"/>
          <w:sz w:val="32"/>
          <w:szCs w:val="32"/>
          <w:highlight w:val="none"/>
          <w:u w:val="none"/>
          <w:lang w:eastAsia="zh-CN"/>
        </w:rPr>
        <w:t>，区政府</w:t>
      </w:r>
      <w:r>
        <w:rPr>
          <w:rFonts w:hint="eastAsia" w:ascii="仿宋_GB2312" w:hAnsi="仿宋_GB2312" w:eastAsia="仿宋_GB2312" w:cs="仿宋_GB2312"/>
          <w:sz w:val="32"/>
          <w:szCs w:val="32"/>
          <w:highlight w:val="none"/>
          <w:u w:val="none"/>
        </w:rPr>
        <w:t>有关部门获得“全国先进基层党组织”</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全国抗击新冠肺炎疫情先进集体</w:t>
      </w:r>
      <w:r>
        <w:rPr>
          <w:rFonts w:hint="eastAsia" w:ascii="仿宋_GB2312" w:hAnsi="仿宋_GB2312" w:eastAsia="仿宋_GB2312" w:cs="仿宋_GB2312"/>
          <w:sz w:val="32"/>
          <w:szCs w:val="32"/>
          <w:highlight w:val="none"/>
          <w:u w:val="none"/>
          <w:lang w:eastAsia="zh-CN"/>
        </w:rPr>
        <w:t>”“全国地方外事工作优秀集体”</w:t>
      </w:r>
      <w:r>
        <w:rPr>
          <w:rFonts w:hint="eastAsia" w:ascii="仿宋_GB2312" w:hAnsi="仿宋_GB2312" w:eastAsia="仿宋_GB2312" w:cs="仿宋_GB2312"/>
          <w:sz w:val="32"/>
          <w:szCs w:val="32"/>
          <w:highlight w:val="none"/>
          <w:u w:val="none"/>
        </w:rPr>
        <w:t>等</w:t>
      </w:r>
      <w:r>
        <w:rPr>
          <w:rFonts w:hint="eastAsia" w:ascii="仿宋_GB2312" w:hAnsi="仿宋_GB2312" w:eastAsia="仿宋_GB2312" w:cs="仿宋_GB2312"/>
          <w:sz w:val="32"/>
          <w:szCs w:val="32"/>
          <w:highlight w:val="none"/>
          <w:u w:val="none"/>
          <w:lang w:eastAsia="zh-CN"/>
        </w:rPr>
        <w:t>表彰奖励</w:t>
      </w:r>
      <w:r>
        <w:rPr>
          <w:rFonts w:hint="eastAsia" w:ascii="仿宋_GB2312" w:hAnsi="仿宋_GB2312" w:eastAsia="仿宋_GB2312" w:cs="仿宋_GB2312"/>
          <w:sz w:val="32"/>
          <w:szCs w:val="32"/>
          <w:highlight w:val="none"/>
          <w:u w:val="none"/>
          <w:lang w:val="en-US" w:eastAsia="zh-CN"/>
        </w:rPr>
        <w:t>，因2020年中国国际服务贸易交易会服务保障、亚投行2020年第五届理事会年会服务保障、内蒙卓资帮扶协作、2020年中国双创周北京分会场服务保障等工作收到各方发来感谢信</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eastAsia="zh-CN"/>
        </w:rPr>
        <w:t>今年</w:t>
      </w:r>
      <w:r>
        <w:rPr>
          <w:rFonts w:hint="eastAsia" w:ascii="仿宋_GB2312" w:hAnsi="仿宋_GB2312" w:eastAsia="仿宋_GB2312" w:cs="仿宋_GB2312"/>
          <w:sz w:val="32"/>
          <w:szCs w:val="32"/>
          <w:highlight w:val="none"/>
          <w:u w:val="none"/>
        </w:rPr>
        <w:t>，朝阳区承办的市政府</w:t>
      </w:r>
      <w:r>
        <w:rPr>
          <w:rFonts w:hint="eastAsia" w:ascii="仿宋_GB2312" w:hAnsi="仿宋_GB2312" w:eastAsia="仿宋_GB2312" w:cs="仿宋_GB2312"/>
          <w:sz w:val="32"/>
          <w:szCs w:val="32"/>
          <w:highlight w:val="none"/>
          <w:u w:val="none"/>
          <w:lang w:eastAsia="zh-CN"/>
        </w:rPr>
        <w:t>绩效考评日常履职考核事项</w:t>
      </w:r>
      <w:r>
        <w:rPr>
          <w:rFonts w:hint="eastAsia" w:ascii="仿宋_GB2312" w:hAnsi="仿宋_GB2312" w:eastAsia="仿宋_GB2312" w:cs="仿宋_GB2312"/>
          <w:sz w:val="32"/>
          <w:szCs w:val="32"/>
          <w:highlight w:val="none"/>
          <w:u w:val="none"/>
        </w:rPr>
        <w:t>预计全面完成。</w:t>
      </w:r>
    </w:p>
    <w:p>
      <w:pPr>
        <w:keepNext w:val="0"/>
        <w:keepLines w:val="0"/>
        <w:pageBreakBefore w:val="0"/>
        <w:widowControl w:val="0"/>
        <w:kinsoku/>
        <w:wordWrap/>
        <w:overflowPunct/>
        <w:topLinePunct/>
        <w:autoSpaceDE/>
        <w:autoSpaceDN/>
        <w:bidi w:val="0"/>
        <w:adjustRightInd/>
        <w:snapToGrid w:val="0"/>
        <w:spacing w:line="600" w:lineRule="exact"/>
        <w:ind w:left="0" w:leftChars="0" w:right="0" w:rightChars="0" w:firstLine="640" w:firstLineChars="200"/>
        <w:jc w:val="both"/>
        <w:textAlignment w:val="auto"/>
        <w:rPr>
          <w:rFonts w:hint="eastAsia" w:ascii="仿宋_GB2312" w:hAnsi="仿宋_GB2312" w:eastAsia="仿宋_GB2312" w:cs="仿宋_GB2312"/>
          <w:b w:val="0"/>
          <w:bCs w:val="0"/>
          <w:i/>
          <w:iCs/>
          <w:snapToGrid w:val="0"/>
          <w:kern w:val="0"/>
          <w:sz w:val="32"/>
          <w:szCs w:val="32"/>
          <w:highlight w:val="none"/>
          <w:u w:val="none"/>
          <w:lang w:eastAsia="zh-CN"/>
        </w:rPr>
      </w:pPr>
      <w:r>
        <w:rPr>
          <w:rFonts w:hint="eastAsia" w:ascii="仿宋_GB2312" w:hAnsi="仿宋_GB2312" w:eastAsia="黑体" w:cs="黑体"/>
          <w:b w:val="0"/>
          <w:bCs w:val="0"/>
          <w:snapToGrid w:val="0"/>
          <w:kern w:val="0"/>
          <w:sz w:val="32"/>
          <w:szCs w:val="32"/>
          <w:highlight w:val="none"/>
          <w:u w:val="none"/>
          <w:lang w:eastAsia="zh-CN"/>
        </w:rPr>
        <w:t>二、主要做法和工作成效</w:t>
      </w:r>
    </w:p>
    <w:p>
      <w:pPr>
        <w:keepNext w:val="0"/>
        <w:keepLines w:val="0"/>
        <w:pageBreakBefore w:val="0"/>
        <w:widowControl w:val="0"/>
        <w:kinsoku/>
        <w:wordWrap/>
        <w:overflowPunct/>
        <w:topLinePunct/>
        <w:autoSpaceDE/>
        <w:autoSpaceDN/>
        <w:bidi w:val="0"/>
        <w:adjustRightInd/>
        <w:snapToGrid w:val="0"/>
        <w:spacing w:line="600" w:lineRule="exact"/>
        <w:ind w:left="0" w:leftChars="0" w:right="0" w:rightChars="0" w:firstLine="643" w:firstLineChars="200"/>
        <w:jc w:val="both"/>
        <w:textAlignment w:val="auto"/>
        <w:rPr>
          <w:rFonts w:ascii="仿宋_GB2312" w:hAnsi="仿宋_GB2312" w:eastAsia="楷体_GB2312" w:cs="楷体_GB2312"/>
          <w:b/>
          <w:bCs/>
          <w:snapToGrid w:val="0"/>
          <w:kern w:val="0"/>
          <w:sz w:val="32"/>
          <w:szCs w:val="32"/>
        </w:rPr>
      </w:pPr>
      <w:r>
        <w:rPr>
          <w:rFonts w:hint="eastAsia" w:ascii="仿宋_GB2312" w:hAnsi="仿宋_GB2312" w:eastAsia="楷体_GB2312" w:cs="楷体_GB2312"/>
          <w:b/>
          <w:bCs/>
          <w:snapToGrid w:val="0"/>
          <w:kern w:val="0"/>
          <w:sz w:val="32"/>
          <w:szCs w:val="32"/>
        </w:rPr>
        <w:t>（一）统筹兼顾、群策群力，抗击疫情取得重大成果</w:t>
      </w:r>
    </w:p>
    <w:p>
      <w:pPr>
        <w:keepNext w:val="0"/>
        <w:keepLines w:val="0"/>
        <w:pageBreakBefore w:val="0"/>
        <w:widowControl w:val="0"/>
        <w:kinsoku/>
        <w:wordWrap/>
        <w:overflowPunct/>
        <w:topLinePunct/>
        <w:autoSpaceDE/>
        <w:autoSpaceDN/>
        <w:bidi w:val="0"/>
        <w:adjustRightInd/>
        <w:snapToGrid w:val="0"/>
        <w:spacing w:line="600" w:lineRule="exact"/>
        <w:ind w:left="0" w:leftChars="0" w:right="0" w:rightChars="0" w:firstLine="640" w:firstLineChars="200"/>
        <w:jc w:val="both"/>
        <w:textAlignment w:val="auto"/>
        <w:rPr>
          <w:rFonts w:ascii="仿宋_GB2312" w:hAnsi="仿宋_GB2312" w:eastAsia="仿宋_GB2312"/>
          <w:snapToGrid w:val="0"/>
          <w:kern w:val="0"/>
          <w:sz w:val="32"/>
          <w:szCs w:val="32"/>
        </w:rPr>
      </w:pPr>
      <w:r>
        <w:rPr>
          <w:rFonts w:hint="eastAsia" w:ascii="仿宋_GB2312" w:hAnsi="仿宋_GB2312" w:eastAsia="仿宋_GB2312"/>
          <w:snapToGrid w:val="0"/>
          <w:kern w:val="0"/>
          <w:sz w:val="32"/>
          <w:szCs w:val="32"/>
        </w:rPr>
        <w:t>疫情发生后，全区上下按照“坚定信心、同舟共济、科学防治、精准施策”的总要求，压紧压实“四方责任”，迅速打响疫情防控的人民战争、总体战、阻击战，用3个月左右时间，取得了抗疫斗争明显成效。在此基础上，全力做好“外防输入、内防反弹”工作，构筑起常态化疫情防控的铜墙铁壁。</w:t>
      </w:r>
    </w:p>
    <w:p>
      <w:pPr>
        <w:keepNext w:val="0"/>
        <w:keepLines w:val="0"/>
        <w:pageBreakBefore w:val="0"/>
        <w:widowControl w:val="0"/>
        <w:kinsoku/>
        <w:wordWrap/>
        <w:overflowPunct/>
        <w:topLinePunct/>
        <w:autoSpaceDE/>
        <w:autoSpaceDN/>
        <w:bidi w:val="0"/>
        <w:adjustRightInd/>
        <w:snapToGrid w:val="0"/>
        <w:spacing w:line="600" w:lineRule="exact"/>
        <w:ind w:left="0" w:leftChars="0" w:right="0" w:rightChars="0" w:firstLine="643" w:firstLineChars="200"/>
        <w:jc w:val="both"/>
        <w:textAlignment w:val="auto"/>
        <w:rPr>
          <w:rFonts w:ascii="仿宋_GB2312" w:hAnsi="仿宋_GB2312" w:eastAsia="仿宋_GB2312"/>
          <w:snapToGrid w:val="0"/>
          <w:kern w:val="0"/>
          <w:sz w:val="32"/>
          <w:szCs w:val="32"/>
        </w:rPr>
      </w:pPr>
      <w:r>
        <w:rPr>
          <w:rFonts w:hint="eastAsia" w:ascii="仿宋_GB2312" w:hAnsi="仿宋_GB2312" w:eastAsia="仿宋_GB2312"/>
          <w:b/>
          <w:snapToGrid w:val="0"/>
          <w:kern w:val="0"/>
          <w:sz w:val="32"/>
          <w:szCs w:val="32"/>
        </w:rPr>
        <w:t>准确把握形势变化，各阶段防控工作有力有效。</w:t>
      </w:r>
      <w:r>
        <w:rPr>
          <w:rFonts w:hint="eastAsia" w:ascii="仿宋_GB2312" w:hAnsi="仿宋_GB2312" w:eastAsia="仿宋_GB2312"/>
          <w:snapToGrid w:val="0"/>
          <w:spacing w:val="-4"/>
          <w:kern w:val="0"/>
          <w:sz w:val="32"/>
          <w:szCs w:val="32"/>
        </w:rPr>
        <w:t>我区承担了全市30%的国内人员、40%的境外人员进京应对任务以及近100%</w:t>
      </w:r>
      <w:r>
        <w:rPr>
          <w:rFonts w:hint="eastAsia" w:ascii="仿宋_GB2312" w:hAnsi="仿宋_GB2312" w:eastAsia="仿宋_GB2312"/>
          <w:snapToGrid w:val="0"/>
          <w:kern w:val="0"/>
          <w:sz w:val="32"/>
          <w:szCs w:val="32"/>
        </w:rPr>
        <w:t>的境外进京外交人员集中观察工作。1月23日在全市率先启动“敲门行动”，对涉及人员开展地毯式排查，迅速改建2所区级定点医院，组建500余人的流行病学调查队伍，统筹各方资源开辟集中观察点，对全部小区（村）实行封闭管理，有效应对了春节后大人流返京风险。针对境外疫情蔓延情况，逐步扩大排查范围，率先对全部境外进京人员进行隔离观察，并在入境转运点探索出全流程闭环管理模式。新发地批发市场聚集性疫情发生后，第一时间开展排查隔离和采样消杀工作，将日核酸检测能力（单样本）由2万份迅速增加到8万份，在大洋路市场率先实现“批零分开”、设立全市首个批发市场核酸检测站，有效防止了疫情在我区扩散。针对境外输入引发本土关联病例等突发情况，第一时间采取果断措施，最大程度降低了传播风险。</w:t>
      </w:r>
    </w:p>
    <w:p>
      <w:pPr>
        <w:keepNext w:val="0"/>
        <w:keepLines w:val="0"/>
        <w:pageBreakBefore w:val="0"/>
        <w:widowControl w:val="0"/>
        <w:kinsoku/>
        <w:wordWrap/>
        <w:overflowPunct/>
        <w:topLinePunct/>
        <w:autoSpaceDE/>
        <w:autoSpaceDN/>
        <w:bidi w:val="0"/>
        <w:adjustRightInd/>
        <w:snapToGrid w:val="0"/>
        <w:spacing w:line="600" w:lineRule="exact"/>
        <w:ind w:left="0" w:leftChars="0" w:right="0" w:rightChars="0" w:firstLine="643" w:firstLineChars="200"/>
        <w:jc w:val="both"/>
        <w:textAlignment w:val="auto"/>
        <w:rPr>
          <w:rFonts w:ascii="仿宋_GB2312" w:hAnsi="仿宋_GB2312" w:eastAsia="仿宋_GB2312"/>
          <w:snapToGrid w:val="0"/>
          <w:kern w:val="0"/>
          <w:sz w:val="32"/>
          <w:szCs w:val="32"/>
        </w:rPr>
      </w:pPr>
      <w:r>
        <w:rPr>
          <w:rFonts w:hint="eastAsia" w:ascii="仿宋_GB2312" w:hAnsi="仿宋_GB2312" w:eastAsia="仿宋_GB2312"/>
          <w:b/>
          <w:snapToGrid w:val="0"/>
          <w:kern w:val="0"/>
          <w:sz w:val="32"/>
          <w:szCs w:val="32"/>
        </w:rPr>
        <w:t>高效统筹资源力量，支撑保障措施及时到位。</w:t>
      </w:r>
      <w:r>
        <w:rPr>
          <w:rFonts w:hint="eastAsia" w:ascii="仿宋_GB2312" w:hAnsi="仿宋_GB2312" w:eastAsia="仿宋_GB2312"/>
          <w:snapToGrid w:val="0"/>
          <w:kern w:val="0"/>
          <w:sz w:val="32"/>
          <w:szCs w:val="32"/>
        </w:rPr>
        <w:t>疫情初期从境内外采购并紧急动员企业生产口罩，短时间内实现了各类防疫物资从紧缺到动态平衡。首次建立区级生活必需品政府应急储备机制，组织商超企业科学调配货源，保障“菜篮子”量足价稳。</w:t>
      </w:r>
      <w:r>
        <w:rPr>
          <w:rFonts w:hint="eastAsia" w:ascii="仿宋_GB2312" w:hAnsi="仿宋_GB2312" w:eastAsia="仿宋_GB2312" w:cs="仿宋_GB2312"/>
          <w:snapToGrid w:val="0"/>
          <w:color w:val="000000"/>
          <w:kern w:val="0"/>
          <w:sz w:val="32"/>
          <w:szCs w:val="32"/>
        </w:rPr>
        <w:t>推行预检分诊、非急诊全面预约制，在全市率先使用方舱CT、开通24小时健康咨询热线，推出“极简取药”等便民</w:t>
      </w:r>
      <w:r>
        <w:rPr>
          <w:rFonts w:hint="eastAsia" w:ascii="仿宋_GB2312" w:hAnsi="仿宋_GB2312" w:eastAsia="仿宋_GB2312"/>
          <w:snapToGrid w:val="0"/>
          <w:color w:val="000000"/>
          <w:kern w:val="0"/>
          <w:sz w:val="32"/>
          <w:szCs w:val="32"/>
        </w:rPr>
        <w:t>服务。</w:t>
      </w:r>
      <w:r>
        <w:rPr>
          <w:rFonts w:hint="eastAsia" w:ascii="仿宋_GB2312" w:hAnsi="仿宋_GB2312" w:eastAsia="仿宋_GB2312"/>
          <w:snapToGrid w:val="0"/>
          <w:kern w:val="0"/>
          <w:sz w:val="32"/>
          <w:szCs w:val="32"/>
        </w:rPr>
        <w:t>发挥科技支撑作用，创新开发朝阳战“疫”地图、楼宇信息采集系统等，支持辖区企业研发“人脸识别+红外测温”系统并在全市推广。率先出台并及时调整防疫指引，首创“双楼长”制，首倡“一米”行动，全区未发生公共场所聚集性感染事件。</w:t>
      </w:r>
    </w:p>
    <w:p>
      <w:pPr>
        <w:keepNext w:val="0"/>
        <w:keepLines w:val="0"/>
        <w:pageBreakBefore w:val="0"/>
        <w:widowControl w:val="0"/>
        <w:kinsoku/>
        <w:wordWrap/>
        <w:overflowPunct/>
        <w:topLinePunct/>
        <w:autoSpaceDE/>
        <w:autoSpaceDN/>
        <w:bidi w:val="0"/>
        <w:adjustRightInd/>
        <w:snapToGrid w:val="0"/>
        <w:spacing w:line="600" w:lineRule="exact"/>
        <w:ind w:left="0" w:leftChars="0" w:right="0" w:rightChars="0" w:firstLine="643" w:firstLineChars="200"/>
        <w:jc w:val="both"/>
        <w:textAlignment w:val="auto"/>
        <w:rPr>
          <w:rFonts w:ascii="仿宋_GB2312" w:hAnsi="仿宋_GB2312" w:eastAsia="楷体_GB2312" w:cs="楷体_GB2312"/>
          <w:b/>
          <w:bCs/>
          <w:snapToGrid w:val="0"/>
          <w:kern w:val="0"/>
          <w:sz w:val="32"/>
          <w:szCs w:val="32"/>
        </w:rPr>
      </w:pPr>
      <w:r>
        <w:rPr>
          <w:rFonts w:hint="eastAsia" w:ascii="仿宋_GB2312" w:hAnsi="仿宋_GB2312" w:eastAsia="楷体_GB2312" w:cs="楷体_GB2312"/>
          <w:b/>
          <w:bCs/>
          <w:snapToGrid w:val="0"/>
          <w:kern w:val="0"/>
          <w:sz w:val="32"/>
          <w:szCs w:val="32"/>
        </w:rPr>
        <w:t>（二）危中寻机、加速转型，区域经济呈现坚强韧性</w:t>
      </w:r>
    </w:p>
    <w:p>
      <w:pPr>
        <w:keepNext w:val="0"/>
        <w:keepLines w:val="0"/>
        <w:pageBreakBefore w:val="0"/>
        <w:widowControl w:val="0"/>
        <w:kinsoku/>
        <w:wordWrap/>
        <w:overflowPunct/>
        <w:topLinePunct/>
        <w:autoSpaceDE/>
        <w:autoSpaceDN/>
        <w:bidi w:val="0"/>
        <w:adjustRightInd/>
        <w:snapToGrid w:val="0"/>
        <w:spacing w:line="600" w:lineRule="exact"/>
        <w:ind w:left="0" w:leftChars="0" w:right="0" w:rightChars="0" w:firstLine="640" w:firstLineChars="200"/>
        <w:jc w:val="both"/>
        <w:textAlignment w:val="auto"/>
        <w:rPr>
          <w:rFonts w:ascii="仿宋_GB2312" w:hAnsi="仿宋_GB2312" w:eastAsia="仿宋_GB2312"/>
          <w:b/>
          <w:snapToGrid w:val="0"/>
          <w:kern w:val="0"/>
          <w:sz w:val="32"/>
          <w:szCs w:val="32"/>
          <w:highlight w:val="none"/>
          <w:u w:val="none"/>
        </w:rPr>
      </w:pPr>
      <w:r>
        <w:rPr>
          <w:rFonts w:hint="eastAsia" w:ascii="仿宋_GB2312" w:hAnsi="仿宋_GB2312" w:eastAsia="仿宋_GB2312"/>
          <w:snapToGrid w:val="0"/>
          <w:kern w:val="0"/>
          <w:sz w:val="32"/>
          <w:szCs w:val="32"/>
        </w:rPr>
        <w:t>我区经济外向型程度高、服务业占比大，受疫情影响更为明显。我们一方面尽力为企业降成本、减负担，另一方面立足优势培育新动能，有力促进了经济稳步恢复。预计全年GDP达到7000亿元左右、下降2%左右，完成一般公共预算收入510.8亿元、下降4.8%</w:t>
      </w:r>
      <w:r>
        <w:rPr>
          <w:rFonts w:hint="eastAsia" w:ascii="仿宋_GB2312" w:hAnsi="仿宋_GB2312" w:eastAsia="仿宋_GB2312"/>
          <w:snapToGrid w:val="0"/>
          <w:kern w:val="0"/>
          <w:sz w:val="32"/>
          <w:szCs w:val="32"/>
          <w:lang w:eastAsia="zh-CN"/>
        </w:rPr>
        <w:t>，</w:t>
      </w:r>
      <w:r>
        <w:rPr>
          <w:rFonts w:hint="eastAsia" w:ascii="仿宋_GB2312" w:hAnsi="仿宋_GB2312" w:eastAsia="仿宋_GB2312"/>
          <w:snapToGrid w:val="0"/>
          <w:kern w:val="0"/>
          <w:sz w:val="32"/>
          <w:szCs w:val="32"/>
          <w:highlight w:val="none"/>
          <w:u w:val="none"/>
          <w:lang w:eastAsia="zh-CN"/>
        </w:rPr>
        <w:t>技术合同成交额达</w:t>
      </w:r>
      <w:r>
        <w:rPr>
          <w:rFonts w:hint="eastAsia" w:ascii="仿宋_GB2312" w:hAnsi="仿宋_GB2312" w:eastAsia="仿宋_GB2312"/>
          <w:snapToGrid w:val="0"/>
          <w:kern w:val="0"/>
          <w:sz w:val="32"/>
          <w:szCs w:val="32"/>
          <w:highlight w:val="none"/>
          <w:u w:val="none"/>
          <w:lang w:val="en-US" w:eastAsia="zh-CN"/>
        </w:rPr>
        <w:t>1250亿元。</w:t>
      </w:r>
    </w:p>
    <w:p>
      <w:pPr>
        <w:keepNext w:val="0"/>
        <w:keepLines w:val="0"/>
        <w:pageBreakBefore w:val="0"/>
        <w:widowControl w:val="0"/>
        <w:kinsoku/>
        <w:wordWrap/>
        <w:overflowPunct/>
        <w:topLinePunct/>
        <w:autoSpaceDE/>
        <w:autoSpaceDN/>
        <w:bidi w:val="0"/>
        <w:adjustRightInd/>
        <w:snapToGrid w:val="0"/>
        <w:spacing w:line="600" w:lineRule="exact"/>
        <w:ind w:left="0" w:leftChars="0" w:right="0" w:rightChars="0" w:firstLine="630" w:firstLineChars="196"/>
        <w:jc w:val="both"/>
        <w:textAlignment w:val="auto"/>
        <w:rPr>
          <w:rFonts w:ascii="仿宋_GB2312" w:hAnsi="仿宋_GB2312" w:eastAsia="仿宋_GB2312"/>
          <w:kern w:val="0"/>
          <w:sz w:val="32"/>
          <w:szCs w:val="32"/>
        </w:rPr>
      </w:pPr>
      <w:r>
        <w:rPr>
          <w:rFonts w:hint="eastAsia" w:ascii="仿宋_GB2312" w:hAnsi="仿宋_GB2312" w:eastAsia="仿宋_GB2312"/>
          <w:b/>
          <w:snapToGrid w:val="0"/>
          <w:kern w:val="0"/>
          <w:sz w:val="32"/>
          <w:szCs w:val="32"/>
        </w:rPr>
        <w:t>千方百计纾困惠企，复工达产成效明显。</w:t>
      </w:r>
      <w:r>
        <w:rPr>
          <w:rFonts w:hint="eastAsia" w:ascii="仿宋_GB2312" w:hAnsi="仿宋_GB2312" w:eastAsia="仿宋_GB2312"/>
          <w:snapToGrid w:val="0"/>
          <w:kern w:val="0"/>
          <w:sz w:val="32"/>
          <w:szCs w:val="32"/>
        </w:rPr>
        <w:t>落实国家和市级政策，出台区级两个“18条措施”，</w:t>
      </w:r>
      <w:r>
        <w:rPr>
          <w:rFonts w:hint="eastAsia" w:ascii="仿宋_GB2312" w:hAnsi="仿宋_GB2312" w:eastAsia="仿宋_GB2312"/>
          <w:kern w:val="0"/>
          <w:sz w:val="32"/>
          <w:szCs w:val="32"/>
        </w:rPr>
        <w:t>全力解决企业用工用餐、原料供应、出差隔离、签证办理等实际困难，新增减税72.1亿元，减免社保费279亿元，返还失业保险费10.3亿元，帮助企业获得贷款160亿元，为中小微企业减免房租13.7亿元；</w:t>
      </w:r>
      <w:r>
        <w:rPr>
          <w:rFonts w:hint="eastAsia" w:ascii="仿宋_GB2312" w:hAnsi="仿宋_GB2312" w:eastAsia="仿宋_GB2312"/>
          <w:snapToGrid w:val="0"/>
          <w:kern w:val="0"/>
          <w:sz w:val="32"/>
          <w:szCs w:val="32"/>
        </w:rPr>
        <w:t>创新提出“数据定位、政策找企”，为困难企业</w:t>
      </w:r>
      <w:r>
        <w:rPr>
          <w:rFonts w:hint="eastAsia" w:ascii="仿宋_GB2312" w:hAnsi="仿宋_GB2312" w:eastAsia="仿宋_GB2312"/>
          <w:kern w:val="0"/>
          <w:sz w:val="32"/>
          <w:szCs w:val="32"/>
        </w:rPr>
        <w:t>申请临时性岗位补贴和以训稳岗补贴3.4亿元。重点企业、楼宇、工地于3月底基本复工，新设企业数量自8月起保持正增长，全区就业形势总体稳定。</w:t>
      </w:r>
    </w:p>
    <w:p>
      <w:pPr>
        <w:keepNext w:val="0"/>
        <w:keepLines w:val="0"/>
        <w:pageBreakBefore w:val="0"/>
        <w:widowControl w:val="0"/>
        <w:kinsoku/>
        <w:wordWrap/>
        <w:overflowPunct/>
        <w:topLinePunct/>
        <w:autoSpaceDE/>
        <w:autoSpaceDN/>
        <w:bidi w:val="0"/>
        <w:adjustRightInd/>
        <w:snapToGrid w:val="0"/>
        <w:spacing w:line="600" w:lineRule="exact"/>
        <w:ind w:left="0" w:leftChars="0" w:right="0" w:rightChars="0" w:firstLine="630" w:firstLineChars="196"/>
        <w:jc w:val="both"/>
        <w:textAlignment w:val="auto"/>
        <w:rPr>
          <w:rFonts w:ascii="仿宋_GB2312" w:hAnsi="仿宋_GB2312" w:eastAsia="仿宋_GB2312" w:cs="Times New Roman"/>
          <w:snapToGrid w:val="0"/>
          <w:kern w:val="0"/>
          <w:sz w:val="32"/>
          <w:szCs w:val="32"/>
        </w:rPr>
      </w:pPr>
      <w:r>
        <w:rPr>
          <w:rFonts w:hint="eastAsia" w:ascii="仿宋_GB2312" w:hAnsi="仿宋_GB2312" w:eastAsia="仿宋_GB2312" w:cs="Times New Roman"/>
          <w:b/>
          <w:snapToGrid w:val="0"/>
          <w:kern w:val="0"/>
          <w:sz w:val="32"/>
          <w:szCs w:val="32"/>
        </w:rPr>
        <w:t>把握</w:t>
      </w:r>
      <w:r>
        <w:rPr>
          <w:rFonts w:hint="eastAsia" w:ascii="仿宋_GB2312" w:hAnsi="仿宋_GB2312" w:eastAsia="仿宋_GB2312"/>
          <w:b/>
          <w:snapToGrid w:val="0"/>
          <w:kern w:val="0"/>
          <w:sz w:val="32"/>
          <w:szCs w:val="32"/>
        </w:rPr>
        <w:t>新趋势优化结构，经济</w:t>
      </w:r>
      <w:r>
        <w:rPr>
          <w:rFonts w:hint="eastAsia" w:ascii="仿宋_GB2312" w:hAnsi="仿宋_GB2312" w:eastAsia="仿宋_GB2312" w:cs="Times New Roman"/>
          <w:b/>
          <w:snapToGrid w:val="0"/>
          <w:kern w:val="0"/>
          <w:sz w:val="32"/>
          <w:szCs w:val="32"/>
        </w:rPr>
        <w:t>动能</w:t>
      </w:r>
      <w:r>
        <w:rPr>
          <w:rFonts w:hint="eastAsia" w:ascii="仿宋_GB2312" w:hAnsi="仿宋_GB2312" w:eastAsia="仿宋_GB2312"/>
          <w:b/>
          <w:snapToGrid w:val="0"/>
          <w:kern w:val="0"/>
          <w:sz w:val="32"/>
          <w:szCs w:val="32"/>
        </w:rPr>
        <w:t>持续增强。</w:t>
      </w:r>
      <w:r>
        <w:rPr>
          <w:rFonts w:hint="eastAsia" w:ascii="仿宋_GB2312" w:hAnsi="仿宋_GB2312" w:eastAsia="仿宋_GB2312"/>
          <w:kern w:val="0"/>
          <w:sz w:val="32"/>
          <w:szCs w:val="32"/>
        </w:rPr>
        <w:t>在全市率先出台数字经济示范区实施方案，率先实施“五新”三年行动计划，发布高成长企业培育“凤鸣计划”，加快发展壮大新业态。</w:t>
      </w:r>
      <w:r>
        <w:rPr>
          <w:rFonts w:hint="eastAsia" w:ascii="仿宋_GB2312" w:hAnsi="仿宋_GB2312" w:eastAsia="仿宋_GB2312"/>
          <w:snapToGrid w:val="0"/>
          <w:kern w:val="0"/>
          <w:sz w:val="32"/>
          <w:szCs w:val="32"/>
        </w:rPr>
        <w:t>新增4家跨国公司地区总部。科技服务业、信息服务业财政收入分别增长13.7%和15.8%。金融业财政收入增长19.6%，48家金融机构落户，10家企业完成上市。创新发布国家文化产业创新实验区指数，新增注册资本亿元以上文化企业50家，“百园工程”全面完成。举办“北京消费季潮朝阳”活动，发展直播带货、无接触配送等新模式，线上消费大幅增长，线下消费逐渐回补。持续优化营商环境，推行告知承诺制，增加“朝好办”主题事项，实现政务场所延时服务全覆盖。我区成为国家产融合作试点城市、全国知识产权运营服务体系建设重点城市。</w:t>
      </w:r>
    </w:p>
    <w:p>
      <w:pPr>
        <w:keepNext w:val="0"/>
        <w:keepLines w:val="0"/>
        <w:pageBreakBefore w:val="0"/>
        <w:widowControl w:val="0"/>
        <w:kinsoku/>
        <w:wordWrap/>
        <w:overflowPunct/>
        <w:topLinePunct/>
        <w:autoSpaceDE/>
        <w:autoSpaceDN/>
        <w:bidi w:val="0"/>
        <w:adjustRightInd/>
        <w:snapToGrid w:val="0"/>
        <w:spacing w:line="600" w:lineRule="exact"/>
        <w:ind w:left="0" w:leftChars="0" w:right="0" w:rightChars="0" w:firstLine="630" w:firstLineChars="196"/>
        <w:jc w:val="both"/>
        <w:textAlignment w:val="auto"/>
        <w:rPr>
          <w:rFonts w:ascii="仿宋_GB2312" w:hAnsi="仿宋_GB2312" w:eastAsia="仿宋_GB2312" w:cs="仿宋_GB2312"/>
          <w:snapToGrid w:val="0"/>
          <w:kern w:val="0"/>
          <w:sz w:val="32"/>
          <w:szCs w:val="32"/>
        </w:rPr>
      </w:pPr>
      <w:r>
        <w:rPr>
          <w:rFonts w:hint="eastAsia" w:ascii="仿宋_GB2312" w:hAnsi="仿宋_GB2312" w:eastAsia="仿宋_GB2312" w:cs="Times New Roman"/>
          <w:b/>
          <w:snapToGrid w:val="0"/>
          <w:kern w:val="0"/>
          <w:sz w:val="32"/>
          <w:szCs w:val="32"/>
        </w:rPr>
        <w:t>抢抓机遇扩大开放，国际化优势更加凸显。</w:t>
      </w:r>
      <w:r>
        <w:rPr>
          <w:rFonts w:hint="eastAsia" w:ascii="仿宋_GB2312" w:hAnsi="仿宋_GB2312" w:eastAsia="仿宋_GB2312"/>
          <w:snapToGrid w:val="0"/>
          <w:kern w:val="0"/>
          <w:sz w:val="32"/>
          <w:szCs w:val="32"/>
        </w:rPr>
        <w:t>迎来中国（北京）自由贸易试验区设立的重大机遇，CBD、金盏国际合作服务区共7.92平方公里纳入政策范围，全市首个自贸区国际人才一站式服务中心建成，首个金融服务平台上线，首家个人征信公司、首支人民币国际投贷基金、首单</w:t>
      </w:r>
      <w:r>
        <w:rPr>
          <w:rFonts w:hint="eastAsia" w:ascii="仿宋_GB2312" w:hAnsi="仿宋_GB2312" w:eastAsia="仿宋_GB2312" w:cs="仿宋_GB2312"/>
          <w:snapToGrid w:val="0"/>
          <w:kern w:val="0"/>
          <w:sz w:val="32"/>
          <w:szCs w:val="32"/>
        </w:rPr>
        <w:t>本外币一体化试点政策业务</w:t>
      </w:r>
      <w:r>
        <w:rPr>
          <w:rFonts w:hint="eastAsia" w:ascii="仿宋_GB2312" w:hAnsi="仿宋_GB2312" w:eastAsia="仿宋_GB2312"/>
          <w:snapToGrid w:val="0"/>
          <w:kern w:val="0"/>
          <w:sz w:val="32"/>
          <w:szCs w:val="32"/>
        </w:rPr>
        <w:t>在我区落地。服务业扩大开放第三轮试点任务基本完成，25个重点项目入驻。实际利用外资46.2亿美元，同比增长8%，占全市三分之一。CBD国际化提升三年行动计划加快推进，吸引力指数保持全国第一，跃居亚洲第二、全球第七。中关村朝阳园成为全国第三批双创示范基地，国际创投集聚区“政策18条”全面实施、4个高成长中心及一批重点机构入驻。奥运功能区实现亚投行、中石油储气库公司等重点企业入驻，国家速滑馆、国家游泳中心、国家体育馆等新建、改建工程竣工</w:t>
      </w:r>
      <w:r>
        <w:rPr>
          <w:rFonts w:hint="eastAsia" w:ascii="仿宋_GB2312" w:hAnsi="仿宋_GB2312" w:eastAsia="仿宋_GB2312" w:cs="仿宋_GB2312"/>
          <w:snapToGrid w:val="0"/>
          <w:kern w:val="0"/>
          <w:sz w:val="32"/>
          <w:szCs w:val="32"/>
        </w:rPr>
        <w:t>。与外交部建立对接沟通机制，第四使馆区用地范围内拆迁工作全面完成。</w:t>
      </w:r>
    </w:p>
    <w:p>
      <w:pPr>
        <w:keepNext w:val="0"/>
        <w:keepLines w:val="0"/>
        <w:pageBreakBefore w:val="0"/>
        <w:widowControl w:val="0"/>
        <w:kinsoku/>
        <w:wordWrap/>
        <w:overflowPunct/>
        <w:topLinePunct/>
        <w:autoSpaceDE/>
        <w:autoSpaceDN/>
        <w:bidi w:val="0"/>
        <w:adjustRightInd/>
        <w:snapToGrid w:val="0"/>
        <w:spacing w:line="600" w:lineRule="exact"/>
        <w:ind w:left="0" w:leftChars="0" w:right="0" w:rightChars="0" w:firstLine="630" w:firstLineChars="196"/>
        <w:jc w:val="both"/>
        <w:textAlignment w:val="auto"/>
        <w:rPr>
          <w:rFonts w:ascii="仿宋_GB2312" w:hAnsi="仿宋_GB2312" w:eastAsia="仿宋_GB2312" w:cs="仿宋_GB2312"/>
          <w:bCs/>
          <w:snapToGrid w:val="0"/>
          <w:kern w:val="0"/>
          <w:sz w:val="32"/>
          <w:szCs w:val="32"/>
        </w:rPr>
      </w:pPr>
      <w:r>
        <w:rPr>
          <w:rFonts w:hint="eastAsia" w:ascii="仿宋_GB2312" w:hAnsi="仿宋_GB2312" w:eastAsia="仿宋_GB2312" w:cs="Times New Roman"/>
          <w:b/>
          <w:snapToGrid w:val="0"/>
          <w:kern w:val="0"/>
          <w:sz w:val="32"/>
          <w:szCs w:val="32"/>
        </w:rPr>
        <w:t>创新机制破解难题，城乡一体化步伐加快。</w:t>
      </w:r>
      <w:r>
        <w:rPr>
          <w:rFonts w:hint="eastAsia" w:ascii="仿宋_GB2312" w:hAnsi="仿宋_GB2312" w:eastAsia="仿宋_GB2312" w:cs="仿宋_GB2312"/>
          <w:bCs/>
          <w:snapToGrid w:val="0"/>
          <w:kern w:val="0"/>
          <w:sz w:val="32"/>
          <w:szCs w:val="32"/>
        </w:rPr>
        <w:t>成立农村地区拆迁腾退专班，在1个月内完成姚家园三期安置房地块、十八里店村及孛罗营村上市地块滞留户腾退。拆而未净、长期滞留的287个非宅、352个住宅全部拆除。加快前期手续办理，定辛庄等4个安置房项目开工、5个项目基本具备开工条件，颐堤港二期等3个产业项目启动、将台国际文化硅谷等3个项目主体完工。着力解决历史遗留问题，557户安置房产权证正在办理、1万余户具备初始登记条件。出台“村地区管”工作意见，成立平台公司，加强集体土地统筹管理。深入推进乡村振兴，小鲁店等村完成美丽乡村建设，农村人居环境整治三年行动计划任务完成。</w:t>
      </w:r>
    </w:p>
    <w:p>
      <w:pPr>
        <w:keepNext w:val="0"/>
        <w:keepLines w:val="0"/>
        <w:pageBreakBefore w:val="0"/>
        <w:widowControl w:val="0"/>
        <w:kinsoku/>
        <w:wordWrap/>
        <w:overflowPunct/>
        <w:topLinePunct/>
        <w:autoSpaceDE/>
        <w:autoSpaceDN/>
        <w:bidi w:val="0"/>
        <w:adjustRightInd/>
        <w:snapToGrid w:val="0"/>
        <w:spacing w:line="600" w:lineRule="exact"/>
        <w:ind w:left="0" w:leftChars="0" w:right="0" w:rightChars="0" w:firstLine="643" w:firstLineChars="200"/>
        <w:jc w:val="both"/>
        <w:textAlignment w:val="auto"/>
        <w:rPr>
          <w:rFonts w:ascii="仿宋_GB2312" w:hAnsi="仿宋_GB2312" w:eastAsia="楷体_GB2312" w:cs="楷体_GB2312"/>
          <w:b/>
          <w:bCs/>
          <w:snapToGrid w:val="0"/>
          <w:kern w:val="0"/>
          <w:sz w:val="32"/>
          <w:szCs w:val="32"/>
        </w:rPr>
      </w:pPr>
      <w:r>
        <w:rPr>
          <w:rFonts w:hint="eastAsia" w:ascii="仿宋_GB2312" w:hAnsi="仿宋_GB2312" w:eastAsia="楷体_GB2312" w:cs="楷体_GB2312"/>
          <w:b/>
          <w:bCs/>
          <w:snapToGrid w:val="0"/>
          <w:kern w:val="0"/>
          <w:sz w:val="32"/>
          <w:szCs w:val="32"/>
        </w:rPr>
        <w:t>（三）对标一流、精细治理，功能品质持续优化提升</w:t>
      </w:r>
    </w:p>
    <w:p>
      <w:pPr>
        <w:keepNext w:val="0"/>
        <w:keepLines w:val="0"/>
        <w:pageBreakBefore w:val="0"/>
        <w:widowControl w:val="0"/>
        <w:kinsoku/>
        <w:wordWrap/>
        <w:overflowPunct/>
        <w:topLinePunct/>
        <w:autoSpaceDE/>
        <w:autoSpaceDN/>
        <w:bidi w:val="0"/>
        <w:adjustRightInd/>
        <w:snapToGrid w:val="0"/>
        <w:spacing w:line="600" w:lineRule="exact"/>
        <w:ind w:left="0" w:leftChars="0" w:right="0" w:rightChars="0" w:firstLine="627" w:firstLineChars="196"/>
        <w:jc w:val="both"/>
        <w:textAlignment w:val="auto"/>
        <w:rPr>
          <w:rFonts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坚决落实城市总体规划，全面实施分区规划，巩固拓展治理成效，城乡环境更加宜居、宜业、宜人。</w:t>
      </w:r>
    </w:p>
    <w:p>
      <w:pPr>
        <w:keepNext w:val="0"/>
        <w:keepLines w:val="0"/>
        <w:pageBreakBefore w:val="0"/>
        <w:widowControl w:val="0"/>
        <w:kinsoku/>
        <w:wordWrap/>
        <w:overflowPunct/>
        <w:topLinePunct/>
        <w:autoSpaceDE/>
        <w:autoSpaceDN/>
        <w:bidi w:val="0"/>
        <w:adjustRightInd/>
        <w:snapToGrid w:val="0"/>
        <w:spacing w:line="600" w:lineRule="exact"/>
        <w:ind w:left="0" w:leftChars="0" w:right="0" w:rightChars="0" w:firstLine="630" w:firstLineChars="196"/>
        <w:jc w:val="both"/>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“疏解整治促提升”专项行动取得阶段性成效。</w:t>
      </w:r>
      <w:r>
        <w:rPr>
          <w:rFonts w:hint="eastAsia" w:ascii="仿宋_GB2312" w:hAnsi="仿宋_GB2312" w:eastAsia="仿宋_GB2312" w:cs="仿宋_GB2312"/>
          <w:snapToGrid w:val="0"/>
          <w:kern w:val="0"/>
          <w:sz w:val="32"/>
          <w:szCs w:val="32"/>
        </w:rPr>
        <w:t>聚焦重点区域精准疏解，拆除并实现“场清地净”317万平方米、腾退土地332公顷。精细化整治提升背街小巷175条，建设提升便民商业网点120个，留白增绿208公顷。政府主导、</w:t>
      </w:r>
      <w:r>
        <w:rPr>
          <w:rFonts w:hint="eastAsia" w:ascii="仿宋_GB2312" w:hAnsi="仿宋_GB2312" w:eastAsia="仿宋_GB2312"/>
          <w:snapToGrid w:val="0"/>
          <w:kern w:val="0"/>
          <w:sz w:val="32"/>
          <w:lang w:val="zh-TW"/>
        </w:rPr>
        <w:t>引入社会资本开展“望京小街”更新及运营，</w:t>
      </w:r>
      <w:r>
        <w:rPr>
          <w:rFonts w:hint="eastAsia" w:ascii="仿宋_GB2312" w:hAnsi="仿宋_GB2312" w:eastAsia="仿宋_GB2312" w:cs="仿宋_GB2312"/>
          <w:snapToGrid w:val="0"/>
          <w:kern w:val="0"/>
          <w:sz w:val="32"/>
          <w:szCs w:val="32"/>
        </w:rPr>
        <w:t>开街后迅速</w:t>
      </w:r>
      <w:r>
        <w:rPr>
          <w:rFonts w:hint="eastAsia" w:ascii="仿宋_GB2312" w:hAnsi="仿宋_GB2312" w:eastAsia="仿宋_GB2312"/>
          <w:snapToGrid w:val="0"/>
          <w:kern w:val="0"/>
          <w:sz w:val="32"/>
          <w:szCs w:val="32"/>
        </w:rPr>
        <w:t>成为网红打卡地。</w:t>
      </w:r>
      <w:r>
        <w:rPr>
          <w:rFonts w:hint="eastAsia" w:ascii="仿宋_GB2312" w:hAnsi="仿宋_GB2312" w:eastAsia="仿宋_GB2312" w:cs="仿宋_GB2312"/>
          <w:snapToGrid w:val="0"/>
          <w:kern w:val="0"/>
          <w:sz w:val="32"/>
          <w:szCs w:val="32"/>
        </w:rPr>
        <w:t>北京最早的涉外商圈丽都商圈完成改造升级，成为街区更新的典范。“疏整促”专项行动12项市级年度量化考核任务中，6项超额完成，8项排名全市前三，3项排名全市第一。</w:t>
      </w:r>
    </w:p>
    <w:p>
      <w:pPr>
        <w:keepNext w:val="0"/>
        <w:keepLines w:val="0"/>
        <w:pageBreakBefore w:val="0"/>
        <w:widowControl w:val="0"/>
        <w:kinsoku/>
        <w:wordWrap/>
        <w:overflowPunct/>
        <w:topLinePunct/>
        <w:autoSpaceDE/>
        <w:autoSpaceDN/>
        <w:bidi w:val="0"/>
        <w:adjustRightInd/>
        <w:snapToGrid w:val="0"/>
        <w:spacing w:line="600" w:lineRule="exact"/>
        <w:ind w:left="0" w:leftChars="0" w:right="0" w:rightChars="0" w:firstLine="643" w:firstLineChars="200"/>
        <w:jc w:val="both"/>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生态建设取得显著成效。</w:t>
      </w:r>
      <w:r>
        <w:rPr>
          <w:rFonts w:hint="eastAsia" w:ascii="仿宋_GB2312" w:hAnsi="仿宋_GB2312" w:eastAsia="仿宋_GB2312" w:cs="仿宋_GB2312"/>
          <w:snapToGrid w:val="0"/>
          <w:kern w:val="0"/>
          <w:sz w:val="32"/>
          <w:szCs w:val="32"/>
        </w:rPr>
        <w:t>实施“一微克”行动，狠抓扬尘和挥发性有机物治理，PM</w:t>
      </w:r>
      <w:r>
        <w:rPr>
          <w:rFonts w:hint="eastAsia" w:ascii="仿宋_GB2312" w:hAnsi="仿宋_GB2312" w:eastAsia="仿宋_GB2312" w:cs="仿宋_GB2312"/>
          <w:snapToGrid w:val="0"/>
          <w:kern w:val="0"/>
          <w:sz w:val="32"/>
          <w:szCs w:val="32"/>
          <w:vertAlign w:val="subscript"/>
        </w:rPr>
        <w:t>2.5</w:t>
      </w:r>
      <w:r>
        <w:rPr>
          <w:rFonts w:hint="eastAsia" w:ascii="仿宋_GB2312" w:hAnsi="仿宋_GB2312" w:eastAsia="仿宋_GB2312" w:cs="仿宋_GB2312"/>
          <w:snapToGrid w:val="0"/>
          <w:kern w:val="0"/>
          <w:sz w:val="32"/>
          <w:szCs w:val="32"/>
        </w:rPr>
        <w:t>年均浓度为39微克/立方米，下降9.3%，达到近年来最好水平。5个国考、市考断面达标提质，我区在市水污染防治考评中首获优秀等级。亮马河四环以上段景观廊道建成开放，坝河滨水空间一期（使馆区示范段）工程完工。完成51个小区、67个单位自备井置换，惠及群众近24万人。持续推进大尺度绿化，启动国家森林城市创建，占地2.04平方公里的温榆河公园朝阳示范区建成开园，6个城市公园、4个郊野公园主体完工，新建绿道11公里，新增改造绿化面积506公顷。</w:t>
      </w:r>
    </w:p>
    <w:p>
      <w:pPr>
        <w:keepNext w:val="0"/>
        <w:keepLines w:val="0"/>
        <w:pageBreakBefore w:val="0"/>
        <w:widowControl w:val="0"/>
        <w:kinsoku/>
        <w:wordWrap/>
        <w:overflowPunct/>
        <w:topLinePunct/>
        <w:autoSpaceDE/>
        <w:autoSpaceDN/>
        <w:bidi w:val="0"/>
        <w:adjustRightInd/>
        <w:snapToGrid w:val="0"/>
        <w:spacing w:line="600" w:lineRule="exact"/>
        <w:ind w:left="0" w:leftChars="0" w:right="0" w:rightChars="0" w:firstLine="643" w:firstLineChars="200"/>
        <w:jc w:val="both"/>
        <w:textAlignment w:val="auto"/>
        <w:rPr>
          <w:rFonts w:ascii="仿宋_GB2312" w:hAnsi="仿宋_GB2312" w:eastAsia="仿宋_GB2312" w:cs="仿宋_GB2312"/>
          <w:bCs/>
          <w:snapToGrid w:val="0"/>
          <w:kern w:val="0"/>
          <w:sz w:val="32"/>
          <w:szCs w:val="32"/>
        </w:rPr>
      </w:pPr>
      <w:r>
        <w:rPr>
          <w:rFonts w:hint="eastAsia" w:ascii="仿宋_GB2312" w:hAnsi="仿宋_GB2312" w:eastAsia="仿宋_GB2312" w:cs="仿宋_GB2312"/>
          <w:b/>
          <w:bCs/>
          <w:snapToGrid w:val="0"/>
          <w:kern w:val="0"/>
          <w:sz w:val="32"/>
          <w:szCs w:val="32"/>
        </w:rPr>
        <w:t>交通环境持续优化。</w:t>
      </w:r>
      <w:r>
        <w:rPr>
          <w:rFonts w:hint="eastAsia" w:ascii="仿宋_GB2312" w:hAnsi="仿宋_GB2312" w:eastAsia="仿宋_GB2312" w:cs="仿宋_GB2312"/>
          <w:snapToGrid w:val="0"/>
          <w:kern w:val="0"/>
          <w:sz w:val="32"/>
          <w:szCs w:val="32"/>
        </w:rPr>
        <w:t>化工路改扩建工程完工，垡头铁路道口拥堵问题得到根本解决。</w:t>
      </w:r>
      <w:r>
        <w:rPr>
          <w:rFonts w:hint="eastAsia" w:ascii="仿宋_GB2312" w:hAnsi="仿宋_GB2312" w:eastAsia="仿宋_GB2312" w:cs="仿宋_GB2312"/>
          <w:bCs/>
          <w:snapToGrid w:val="0"/>
          <w:kern w:val="0"/>
          <w:sz w:val="32"/>
          <w:szCs w:val="32"/>
        </w:rPr>
        <w:t>广顺北大街全线贯通，中关村朝阳园北区主干路网基本形成。全年竣工主次支路10条，完成</w:t>
      </w:r>
      <w:r>
        <w:rPr>
          <w:rFonts w:hint="eastAsia" w:ascii="仿宋_GB2312" w:hAnsi="仿宋_GB2312" w:eastAsia="仿宋_GB2312" w:cs="仿宋_GB2312"/>
          <w:snapToGrid w:val="0"/>
          <w:kern w:val="0"/>
          <w:sz w:val="32"/>
          <w:szCs w:val="32"/>
        </w:rPr>
        <w:t>20项疏堵工程、102公里慢行系统整治</w:t>
      </w:r>
      <w:r>
        <w:rPr>
          <w:rFonts w:hint="eastAsia" w:ascii="仿宋_GB2312" w:hAnsi="仿宋_GB2312" w:eastAsia="仿宋_GB2312" w:cs="仿宋_GB2312"/>
          <w:bCs/>
          <w:snapToGrid w:val="0"/>
          <w:kern w:val="0"/>
          <w:sz w:val="32"/>
          <w:szCs w:val="32"/>
        </w:rPr>
        <w:t>，</w:t>
      </w:r>
      <w:r>
        <w:rPr>
          <w:rFonts w:hint="eastAsia" w:ascii="仿宋_GB2312" w:hAnsi="仿宋_GB2312" w:eastAsia="仿宋_GB2312" w:cs="仿宋_GB2312"/>
          <w:snapToGrid w:val="0"/>
          <w:kern w:val="0"/>
          <w:sz w:val="32"/>
          <w:szCs w:val="32"/>
        </w:rPr>
        <w:t>新增停车位5200余个。CBD区域4平方公里交通综合治理基本完成，成为全市交通优化工作的典范。推动“星火站”更名为“北京朝阳站”，区域知名度和影响力进一步提升。</w:t>
      </w:r>
    </w:p>
    <w:p>
      <w:pPr>
        <w:keepNext w:val="0"/>
        <w:keepLines w:val="0"/>
        <w:pageBreakBefore w:val="0"/>
        <w:widowControl w:val="0"/>
        <w:kinsoku/>
        <w:wordWrap/>
        <w:overflowPunct/>
        <w:topLinePunct/>
        <w:autoSpaceDE/>
        <w:autoSpaceDN/>
        <w:bidi w:val="0"/>
        <w:adjustRightInd/>
        <w:snapToGrid w:val="0"/>
        <w:spacing w:line="600" w:lineRule="exact"/>
        <w:ind w:left="0" w:leftChars="0" w:right="0" w:rightChars="0" w:firstLine="643" w:firstLineChars="200"/>
        <w:jc w:val="both"/>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城市运行更加高效安全。</w:t>
      </w:r>
      <w:r>
        <w:rPr>
          <w:rFonts w:hint="eastAsia" w:ascii="仿宋_GB2312" w:hAnsi="仿宋_GB2312" w:eastAsia="仿宋_GB2312" w:cs="仿宋_GB2312"/>
          <w:snapToGrid w:val="0"/>
          <w:kern w:val="0"/>
          <w:sz w:val="32"/>
          <w:szCs w:val="32"/>
        </w:rPr>
        <w:t>实施生活垃圾管理、物业管理两个条例，厨余垃圾分出率由最初的5%提高到21%，业委会（物管会）组建率、物业服务覆盖率、党的组织覆盖率分别达到87.9%、99.9%、93%</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highlight w:val="none"/>
          <w:u w:val="none"/>
          <w:lang w:eastAsia="zh-CN"/>
        </w:rPr>
        <w:t>均高出市级目标要求近</w:t>
      </w:r>
      <w:r>
        <w:rPr>
          <w:rFonts w:hint="eastAsia" w:ascii="仿宋_GB2312" w:hAnsi="仿宋_GB2312" w:eastAsia="仿宋_GB2312" w:cs="仿宋_GB2312"/>
          <w:snapToGrid w:val="0"/>
          <w:kern w:val="0"/>
          <w:sz w:val="32"/>
          <w:szCs w:val="32"/>
          <w:highlight w:val="none"/>
          <w:u w:val="none"/>
          <w:lang w:val="en-US" w:eastAsia="zh-CN"/>
        </w:rPr>
        <w:t>3倍。</w:t>
      </w:r>
      <w:r>
        <w:rPr>
          <w:rFonts w:hint="eastAsia" w:ascii="仿宋_GB2312" w:hAnsi="仿宋_GB2312" w:eastAsia="仿宋_GB2312" w:cs="仿宋_GB2312"/>
          <w:snapToGrid w:val="0"/>
          <w:kern w:val="0"/>
          <w:sz w:val="32"/>
          <w:szCs w:val="32"/>
        </w:rPr>
        <w:t>安全生产事故起数和死亡人数分别下降43.9%和40.3%，火灾事故起数下降23.7%。食品药品抽检抽验合格率分别达到98%和99%以上。强化金融风险防范，成立全市首家数字金融风险防范实验室，在营网贷机构实现清零。市域社会治理现代化试点工作全面启动。扫黑除恶专项斗争圆满收官。</w:t>
      </w:r>
    </w:p>
    <w:p>
      <w:pPr>
        <w:keepNext w:val="0"/>
        <w:keepLines w:val="0"/>
        <w:pageBreakBefore w:val="0"/>
        <w:widowControl w:val="0"/>
        <w:kinsoku/>
        <w:wordWrap/>
        <w:overflowPunct/>
        <w:topLinePunct/>
        <w:autoSpaceDE/>
        <w:autoSpaceDN/>
        <w:bidi w:val="0"/>
        <w:adjustRightInd/>
        <w:snapToGrid w:val="0"/>
        <w:spacing w:line="600" w:lineRule="exact"/>
        <w:ind w:left="0" w:leftChars="0" w:right="0" w:rightChars="0" w:firstLine="643" w:firstLineChars="200"/>
        <w:jc w:val="both"/>
        <w:textAlignment w:val="auto"/>
        <w:rPr>
          <w:rFonts w:ascii="仿宋_GB2312" w:hAnsi="仿宋_GB2312" w:eastAsia="楷体_GB2312" w:cs="楷体_GB2312"/>
          <w:b/>
          <w:bCs/>
          <w:snapToGrid w:val="0"/>
          <w:kern w:val="0"/>
          <w:sz w:val="32"/>
          <w:szCs w:val="32"/>
        </w:rPr>
      </w:pPr>
      <w:r>
        <w:rPr>
          <w:rFonts w:hint="eastAsia" w:ascii="仿宋_GB2312" w:hAnsi="仿宋_GB2312" w:eastAsia="楷体_GB2312" w:cs="楷体_GB2312"/>
          <w:b/>
          <w:bCs/>
          <w:snapToGrid w:val="0"/>
          <w:kern w:val="0"/>
          <w:sz w:val="32"/>
          <w:szCs w:val="32"/>
        </w:rPr>
        <w:t>（四）紧贴需求、为民解忧，社会事业取得全面进步</w:t>
      </w:r>
    </w:p>
    <w:p>
      <w:pPr>
        <w:keepNext w:val="0"/>
        <w:keepLines w:val="0"/>
        <w:pageBreakBefore w:val="0"/>
        <w:widowControl w:val="0"/>
        <w:kinsoku/>
        <w:wordWrap/>
        <w:overflowPunct/>
        <w:topLinePunct/>
        <w:autoSpaceDE/>
        <w:autoSpaceDN/>
        <w:bidi w:val="0"/>
        <w:adjustRightInd/>
        <w:snapToGrid w:val="0"/>
        <w:spacing w:line="600" w:lineRule="exact"/>
        <w:ind w:left="0" w:leftChars="0" w:right="0" w:rightChars="0" w:firstLine="640" w:firstLineChars="200"/>
        <w:jc w:val="both"/>
        <w:textAlignment w:val="auto"/>
        <w:rPr>
          <w:rFonts w:ascii="仿宋_GB2312" w:hAnsi="仿宋_GB2312" w:eastAsia="仿宋_GB2312" w:cs="Times New Roman"/>
          <w:snapToGrid w:val="0"/>
          <w:color w:val="000000"/>
          <w:kern w:val="0"/>
          <w:sz w:val="32"/>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实施</w:t>
      </w:r>
      <w:r>
        <w:rPr>
          <w:rFonts w:hint="eastAsia" w:ascii="仿宋_GB2312" w:hAnsi="仿宋_GB2312" w:eastAsia="仿宋_GB2312"/>
          <w:snapToGrid w:val="0"/>
          <w:color w:val="000000"/>
          <w:kern w:val="0"/>
          <w:sz w:val="32"/>
        </w:rPr>
        <w:t>全面提升“七有”“五性”民生保障水平行动计划，全力兜底线、补短板、强弱项。</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预计居民人均可支配收入增长2%。</w:t>
      </w:r>
    </w:p>
    <w:p>
      <w:pPr>
        <w:keepNext w:val="0"/>
        <w:keepLines w:val="0"/>
        <w:pageBreakBefore w:val="0"/>
        <w:widowControl w:val="0"/>
        <w:kinsoku/>
        <w:wordWrap/>
        <w:overflowPunct/>
        <w:topLinePunct/>
        <w:autoSpaceDE/>
        <w:autoSpaceDN/>
        <w:bidi w:val="0"/>
        <w:adjustRightInd/>
        <w:snapToGrid w:val="0"/>
        <w:spacing w:line="600" w:lineRule="exact"/>
        <w:ind w:left="0" w:leftChars="0" w:right="0" w:rightChars="0" w:firstLine="643" w:firstLineChars="200"/>
        <w:jc w:val="both"/>
        <w:textAlignment w:val="auto"/>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kern w:val="0"/>
          <w:sz w:val="32"/>
          <w:szCs w:val="32"/>
        </w:rPr>
        <w:t>公共服务更加优质均衡。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教育教学质量进一步提升，</w:t>
      </w:r>
      <w:r>
        <w:rPr>
          <w:rFonts w:hint="eastAsia" w:ascii="仿宋_GB2312" w:hAnsi="仿宋_GB2312" w:eastAsia="仿宋_GB2312" w:cs="仿宋_GB2312"/>
          <w:snapToGrid w:val="0"/>
          <w:kern w:val="0"/>
          <w:sz w:val="32"/>
          <w:szCs w:val="32"/>
        </w:rPr>
        <w:t>新增9所幼儿园，新建、改扩建4所中小学，</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学前教育普惠性学位占比达到83%，中小学优质教育资源实现全覆盖。</w:t>
      </w:r>
      <w:r>
        <w:rPr>
          <w:rFonts w:hint="eastAsia" w:ascii="仿宋_GB2312" w:hAnsi="仿宋_GB2312" w:eastAsia="仿宋_GB2312" w:cs="仿宋_GB2312"/>
          <w:snapToGrid w:val="0"/>
          <w:color w:val="000000"/>
          <w:kern w:val="0"/>
          <w:sz w:val="32"/>
          <w:szCs w:val="32"/>
        </w:rPr>
        <w:t>建立全市首个国际医疗联合体，</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朝阳医院常营院区主体结构封</w:t>
      </w:r>
      <w:r>
        <w:rPr>
          <w:rFonts w:hint="eastAsia" w:ascii="仿宋_GB2312" w:hAnsi="仿宋_GB2312" w:eastAsia="仿宋_GB2312" w:cs="仿宋_GB2312"/>
          <w:snapToGrid w:val="0"/>
          <w:color w:val="000000"/>
          <w:kern w:val="0"/>
          <w:sz w:val="32"/>
          <w:szCs w:val="32"/>
        </w:rPr>
        <w:t>顶。</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实施公共卫生应急管理体系建设三年行动计划</w:t>
      </w:r>
      <w:r>
        <w:rPr>
          <w:rFonts w:hint="eastAsia" w:ascii="仿宋_GB2312" w:hAnsi="仿宋_GB2312" w:eastAsia="仿宋_GB2312" w:cs="仿宋_GB2312"/>
          <w:snapToGrid w:val="0"/>
          <w:color w:val="000000"/>
          <w:kern w:val="0"/>
          <w:sz w:val="32"/>
          <w:szCs w:val="32"/>
        </w:rPr>
        <w:t>，院前急救呼</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叫满足率达到95%以上。新</w:t>
      </w:r>
      <w:r>
        <w:rPr>
          <w:rFonts w:hint="eastAsia" w:ascii="仿宋_GB2312" w:hAnsi="仿宋_GB2312" w:eastAsia="仿宋_GB2312" w:cs="仿宋_GB2312"/>
          <w:snapToGrid w:val="0"/>
          <w:color w:val="000000"/>
          <w:kern w:val="0"/>
          <w:sz w:val="32"/>
          <w:szCs w:val="32"/>
        </w:rPr>
        <w:t>增养老机构6家、养老驿</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站10家，居家和社区养老服务改革试点成果被评为全国优秀。进一步完善“3+1”四级公共文化服务体系，开展线上线下文化体育活动8900余场次。出台《朝阳区大运河文化带保护传承利用规划》，萧太后河展览馆对外开放</w:t>
      </w:r>
      <w:r>
        <w:rPr>
          <w:rFonts w:hint="eastAsia" w:ascii="仿宋_GB2312" w:hAnsi="仿宋_GB2312" w:eastAsia="仿宋_GB2312" w:cs="仿宋_GB2312"/>
          <w:snapToGrid w:val="0"/>
          <w:kern w:val="0"/>
          <w:sz w:val="32"/>
          <w:szCs w:val="32"/>
        </w:rPr>
        <w:t>。大力普及冰雪运动，举办冬奥大讲堂等活动，累计参与群众19万人次。</w:t>
      </w:r>
      <w:r>
        <w:rPr>
          <w:rFonts w:hint="eastAsia" w:ascii="仿宋_GB2312" w:hAnsi="仿宋_GB2312" w:eastAsia="仿宋_GB2312"/>
          <w:color w:val="000000"/>
          <w:kern w:val="0"/>
          <w:sz w:val="32"/>
          <w:szCs w:val="32"/>
        </w:rPr>
        <w:t>推动工人体育场改造复建工程，仅用1个月时间实现全部商户协商腾退。</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建设筹集政策性住房6881套、竣工1.2万套，完成棚户区改造580户。启动全市首个危旧楼房拆除重建试点项目，建成于上世纪50年代的光华里5、6号楼基本完成拆除。实施38个老旧小区改造项目，加装电梯开工487部、完工320部。第七次全国人口普查工作顺利完成。历经三年不懈努力，我区成功创建国家卫生区。我区连续四届荣获全国文明城区称号。</w:t>
      </w:r>
      <w:r>
        <w:rPr>
          <w:rFonts w:hint="eastAsia" w:ascii="仿宋_GB2312" w:hAnsi="仿宋_GB2312" w:eastAsia="仿宋_GB2312"/>
          <w:snapToGrid w:val="0"/>
          <w:kern w:val="0"/>
          <w:sz w:val="32"/>
          <w:szCs w:val="32"/>
        </w:rPr>
        <w:t>经过持续攻坚，在全市结对帮扶地区中贫困人口最多的新疆墨玉县成功脱贫，我区对口帮扶的6个地区已全部脱贫摘帽。</w:t>
      </w:r>
    </w:p>
    <w:p>
      <w:pPr>
        <w:keepNext w:val="0"/>
        <w:keepLines w:val="0"/>
        <w:pageBreakBefore w:val="0"/>
        <w:widowControl w:val="0"/>
        <w:kinsoku/>
        <w:wordWrap/>
        <w:overflowPunct/>
        <w:topLinePunct/>
        <w:autoSpaceDE/>
        <w:autoSpaceDN/>
        <w:bidi w:val="0"/>
        <w:adjustRightInd/>
        <w:snapToGrid w:val="0"/>
        <w:spacing w:line="600" w:lineRule="exact"/>
        <w:ind w:left="0" w:leftChars="0" w:right="0" w:rightChars="0" w:firstLine="643" w:firstLineChars="200"/>
        <w:jc w:val="both"/>
        <w:textAlignment w:val="auto"/>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kern w:val="0"/>
          <w:sz w:val="32"/>
          <w:szCs w:val="32"/>
        </w:rPr>
        <w:t>基层治理创新向纵深推进。</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深化党政群共商共治，</w:t>
      </w:r>
      <w:r>
        <w:rPr>
          <w:rFonts w:hint="eastAsia" w:ascii="仿宋_GB2312" w:hAnsi="仿宋_GB2312" w:eastAsia="仿宋_GB2312" w:cs="仿宋_GB2312"/>
          <w:snapToGrid w:val="0"/>
          <w:kern w:val="0"/>
          <w:sz w:val="32"/>
          <w:szCs w:val="32"/>
        </w:rPr>
        <w:t>建成20个全要素小</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区、258个全景楼院。</w:t>
      </w:r>
      <w:r>
        <w:rPr>
          <w:rFonts w:hint="eastAsia" w:ascii="仿宋_GB2312" w:hAnsi="仿宋_GB2312" w:eastAsia="仿宋_GB2312" w:cs="仿宋_GB2312"/>
          <w:snapToGrid w:val="0"/>
          <w:kern w:val="0"/>
          <w:sz w:val="32"/>
          <w:szCs w:val="32"/>
        </w:rPr>
        <w:t>调整、新建社区58个，</w:t>
      </w:r>
      <w:r>
        <w:rPr>
          <w:rFonts w:hint="eastAsia" w:ascii="仿宋_GB2312" w:hAnsi="仿宋_GB2312" w:eastAsia="仿宋_GB2312" w:cs="仿宋_GB2312"/>
          <w:snapToGrid w:val="0"/>
          <w:color w:val="000000" w:themeColor="text1"/>
          <w:kern w:val="0"/>
          <w:sz w:val="32"/>
          <w:szCs w:val="32"/>
          <w:lang w:val="zh-TW"/>
          <w14:textFill>
            <w14:solidFill>
              <w14:schemeClr w14:val="tx1"/>
            </w14:solidFill>
          </w14:textFill>
        </w:rPr>
        <w:t>实施社区工作准入制，</w:t>
      </w:r>
      <w:r>
        <w:rPr>
          <w:rFonts w:hint="eastAsia" w:ascii="仿宋_GB2312" w:hAnsi="仿宋_GB2312" w:eastAsia="仿宋_GB2312" w:cs="仿宋_GB2312"/>
          <w:snapToGrid w:val="0"/>
          <w:kern w:val="0"/>
          <w:sz w:val="32"/>
          <w:szCs w:val="32"/>
        </w:rPr>
        <w:t>实现“全岗社工”全覆盖</w:t>
      </w:r>
      <w:r>
        <w:rPr>
          <w:rFonts w:hint="eastAsia" w:ascii="仿宋_GB2312" w:hAnsi="仿宋_GB2312" w:eastAsia="仿宋_GB2312" w:cs="仿宋_GB2312"/>
          <w:snapToGrid w:val="0"/>
          <w:color w:val="000000" w:themeColor="text1"/>
          <w:kern w:val="0"/>
          <w:sz w:val="32"/>
          <w:szCs w:val="32"/>
          <w:lang w:val="zh-TW"/>
          <w14:textFill>
            <w14:solidFill>
              <w14:schemeClr w14:val="tx1"/>
            </w14:solidFill>
          </w14:textFill>
        </w:rPr>
        <w:t>。</w:t>
      </w:r>
      <w:r>
        <w:rPr>
          <w:rFonts w:hint="eastAsia" w:ascii="仿宋_GB2312" w:hAnsi="仿宋_GB2312" w:eastAsia="仿宋_GB2312" w:cs="仿宋_GB2312"/>
          <w:snapToGrid w:val="0"/>
          <w:kern w:val="0"/>
          <w:sz w:val="32"/>
          <w:szCs w:val="32"/>
        </w:rPr>
        <w:t>巩固“社会矛盾化解年”成果，</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群众信访总量、集体访量实现“双下降”。建立“接诉即办”考核激励机制，12345市民服务热线诉求解决率、满意率较年初分别提升28个和15个百分点。</w:t>
      </w:r>
      <w:r>
        <w:rPr>
          <w:rFonts w:hint="eastAsia" w:ascii="仿宋_GB2312" w:hAnsi="仿宋_GB2312" w:eastAsia="仿宋_GB2312"/>
          <w:snapToGrid w:val="0"/>
          <w:color w:val="000000" w:themeColor="text1"/>
          <w:kern w:val="0"/>
          <w:sz w:val="32"/>
          <w:szCs w:val="32"/>
          <w14:textFill>
            <w14:solidFill>
              <w14:schemeClr w14:val="tx1"/>
            </w14:solidFill>
          </w14:textFill>
        </w:rPr>
        <w:t>与此同时，妇女儿童、残疾人事业取得新发展，双拥共建、人防地震、民族宗教、侨务对台、外事旅游、档案方志等各项工作全面进步。</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3" w:firstLineChars="200"/>
        <w:jc w:val="both"/>
        <w:textAlignment w:val="auto"/>
        <w:outlineLvl w:val="9"/>
        <w:rPr>
          <w:rFonts w:hint="eastAsia" w:ascii="仿宋_GB2312" w:hAnsi="仿宋_GB2312" w:eastAsia="楷体_GB2312" w:cs="楷体_GB2312"/>
          <w:b/>
          <w:bCs w:val="0"/>
          <w:color w:val="auto"/>
          <w:sz w:val="32"/>
          <w:szCs w:val="32"/>
          <w:highlight w:val="none"/>
          <w:u w:val="none"/>
          <w:lang w:eastAsia="zh-CN"/>
        </w:rPr>
      </w:pPr>
      <w:r>
        <w:rPr>
          <w:rFonts w:hint="eastAsia" w:ascii="仿宋_GB2312" w:hAnsi="仿宋_GB2312" w:eastAsia="楷体_GB2312" w:cs="楷体_GB2312"/>
          <w:b/>
          <w:bCs w:val="0"/>
          <w:color w:val="auto"/>
          <w:sz w:val="32"/>
          <w:szCs w:val="32"/>
          <w:highlight w:val="none"/>
          <w:u w:val="none"/>
          <w:lang w:eastAsia="zh-CN"/>
        </w:rPr>
        <w:t>（五）践行宗旨，优化服务，政府效能不断提升</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3" w:firstLineChars="200"/>
        <w:jc w:val="both"/>
        <w:textAlignment w:val="auto"/>
        <w:outlineLvl w:val="9"/>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auto"/>
          <w:sz w:val="32"/>
          <w:szCs w:val="32"/>
          <w:highlight w:val="none"/>
          <w:u w:val="none"/>
          <w:lang w:eastAsia="zh-CN"/>
        </w:rPr>
        <w:t>加强预算管理，</w:t>
      </w:r>
      <w:r>
        <w:rPr>
          <w:rFonts w:hint="eastAsia" w:ascii="仿宋_GB2312" w:hAnsi="仿宋_GB2312" w:eastAsia="仿宋_GB2312" w:cs="仿宋_GB2312"/>
          <w:color w:val="auto"/>
          <w:sz w:val="32"/>
          <w:szCs w:val="32"/>
          <w:highlight w:val="none"/>
          <w:u w:val="none"/>
          <w:lang w:val="en-US" w:eastAsia="zh-CN"/>
        </w:rPr>
        <w:t>克服困难，</w:t>
      </w:r>
      <w:r>
        <w:rPr>
          <w:rFonts w:hint="eastAsia" w:ascii="仿宋_GB2312" w:hAnsi="仿宋_GB2312" w:eastAsia="仿宋_GB2312" w:cs="仿宋_GB2312"/>
          <w:color w:val="auto"/>
          <w:sz w:val="32"/>
          <w:szCs w:val="32"/>
          <w:highlight w:val="none"/>
          <w:u w:val="none"/>
        </w:rPr>
        <w:t>一般公共预算收入</w:t>
      </w:r>
      <w:r>
        <w:rPr>
          <w:rFonts w:hint="eastAsia" w:ascii="仿宋_GB2312" w:hAnsi="仿宋_GB2312" w:eastAsia="仿宋_GB2312" w:cs="仿宋_GB2312"/>
          <w:color w:val="auto"/>
          <w:sz w:val="32"/>
          <w:szCs w:val="32"/>
          <w:highlight w:val="none"/>
          <w:u w:val="none"/>
          <w:lang w:eastAsia="zh-CN"/>
        </w:rPr>
        <w:t>超额</w:t>
      </w:r>
      <w:r>
        <w:rPr>
          <w:rFonts w:hint="eastAsia" w:ascii="仿宋_GB2312" w:hAnsi="仿宋_GB2312" w:eastAsia="仿宋_GB2312" w:cs="仿宋_GB2312"/>
          <w:color w:val="auto"/>
          <w:sz w:val="32"/>
          <w:szCs w:val="32"/>
          <w:highlight w:val="none"/>
          <w:u w:val="none"/>
        </w:rPr>
        <w:t>完成</w:t>
      </w:r>
      <w:r>
        <w:rPr>
          <w:rFonts w:hint="eastAsia" w:ascii="仿宋_GB2312" w:hAnsi="仿宋_GB2312" w:eastAsia="仿宋_GB2312" w:cs="仿宋_GB2312"/>
          <w:color w:val="auto"/>
          <w:sz w:val="32"/>
          <w:szCs w:val="32"/>
          <w:highlight w:val="none"/>
          <w:u w:val="none"/>
          <w:lang w:eastAsia="zh-CN"/>
        </w:rPr>
        <w:t>任务，率先在全市跨越</w:t>
      </w:r>
      <w:r>
        <w:rPr>
          <w:rFonts w:hint="eastAsia" w:ascii="仿宋_GB2312" w:hAnsi="仿宋_GB2312" w:eastAsia="仿宋_GB2312" w:cs="仿宋_GB2312"/>
          <w:color w:val="auto"/>
          <w:sz w:val="32"/>
          <w:szCs w:val="32"/>
          <w:highlight w:val="none"/>
          <w:u w:val="none"/>
          <w:lang w:val="en-US" w:eastAsia="zh-CN"/>
        </w:rPr>
        <w:t>500亿元大关，</w:t>
      </w:r>
      <w:r>
        <w:rPr>
          <w:rFonts w:hint="eastAsia" w:ascii="仿宋_GB2312" w:hAnsi="仿宋_GB2312" w:eastAsia="仿宋_GB2312" w:cs="仿宋_GB2312"/>
          <w:color w:val="auto"/>
          <w:sz w:val="32"/>
          <w:szCs w:val="32"/>
          <w:highlight w:val="none"/>
          <w:u w:val="none"/>
        </w:rPr>
        <w:t>政府债务余额未发生逾期风险</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成本预算绩效分析工作</w:t>
      </w:r>
      <w:r>
        <w:rPr>
          <w:rFonts w:hint="eastAsia" w:ascii="仿宋_GB2312" w:hAnsi="仿宋_GB2312" w:eastAsia="仿宋_GB2312" w:cs="仿宋_GB2312"/>
          <w:color w:val="auto"/>
          <w:sz w:val="32"/>
          <w:szCs w:val="32"/>
          <w:highlight w:val="none"/>
          <w:u w:val="none"/>
          <w:lang w:eastAsia="zh-CN"/>
        </w:rPr>
        <w:t>积极推进，</w:t>
      </w:r>
      <w:r>
        <w:rPr>
          <w:rFonts w:hint="eastAsia" w:ascii="仿宋_GB2312" w:hAnsi="仿宋_GB2312" w:eastAsia="仿宋_GB2312" w:cs="仿宋_GB2312"/>
          <w:color w:val="auto"/>
          <w:sz w:val="32"/>
          <w:szCs w:val="32"/>
          <w:highlight w:val="none"/>
          <w:u w:val="none"/>
        </w:rPr>
        <w:t>成立区级财源建设专班</w:t>
      </w:r>
      <w:r>
        <w:rPr>
          <w:rFonts w:hint="eastAsia" w:ascii="仿宋_GB2312" w:hAnsi="仿宋_GB2312" w:eastAsia="仿宋_GB2312" w:cs="仿宋_GB2312"/>
          <w:color w:val="auto"/>
          <w:sz w:val="32"/>
          <w:szCs w:val="32"/>
          <w:highlight w:val="none"/>
          <w:u w:val="none"/>
          <w:lang w:eastAsia="zh-CN"/>
        </w:rPr>
        <w:t>，明确</w:t>
      </w:r>
      <w:r>
        <w:rPr>
          <w:rFonts w:hint="eastAsia" w:ascii="仿宋_GB2312" w:hAnsi="仿宋_GB2312" w:eastAsia="仿宋_GB2312" w:cs="仿宋_GB2312"/>
          <w:color w:val="auto"/>
          <w:sz w:val="32"/>
          <w:szCs w:val="32"/>
          <w:highlight w:val="none"/>
          <w:u w:val="none"/>
        </w:rPr>
        <w:t>招商引资队伍，开展财源建设工作。</w:t>
      </w:r>
      <w:r>
        <w:rPr>
          <w:rFonts w:hint="eastAsia" w:ascii="仿宋_GB2312" w:hAnsi="仿宋_GB2312" w:eastAsia="仿宋_GB2312" w:cs="仿宋_GB2312"/>
          <w:b/>
          <w:bCs w:val="0"/>
          <w:color w:val="auto"/>
          <w:sz w:val="32"/>
          <w:szCs w:val="32"/>
          <w:highlight w:val="none"/>
          <w:u w:val="none"/>
        </w:rPr>
        <w:t>推进依法行政</w:t>
      </w:r>
      <w:r>
        <w:rPr>
          <w:rFonts w:hint="eastAsia" w:ascii="仿宋_GB2312" w:hAnsi="仿宋_GB2312" w:eastAsia="仿宋_GB2312" w:cs="仿宋_GB2312"/>
          <w:b/>
          <w:bCs w:val="0"/>
          <w:color w:val="auto"/>
          <w:sz w:val="32"/>
          <w:szCs w:val="32"/>
          <w:highlight w:val="none"/>
          <w:u w:val="none"/>
          <w:lang w:eastAsia="zh-CN"/>
        </w:rPr>
        <w:t>，</w:t>
      </w:r>
      <w:r>
        <w:rPr>
          <w:rFonts w:hint="eastAsia" w:ascii="仿宋_GB2312" w:hAnsi="仿宋_GB2312" w:eastAsia="仿宋_GB2312" w:cs="仿宋_GB2312"/>
          <w:b w:val="0"/>
          <w:bCs/>
          <w:color w:val="auto"/>
          <w:sz w:val="32"/>
          <w:szCs w:val="32"/>
          <w:highlight w:val="none"/>
          <w:u w:val="none"/>
          <w:lang w:eastAsia="zh-CN"/>
        </w:rPr>
        <w:t>完成</w:t>
      </w:r>
      <w:r>
        <w:rPr>
          <w:rFonts w:hint="eastAsia" w:ascii="仿宋_GB2312" w:hAnsi="仿宋_GB2312" w:eastAsia="仿宋_GB2312" w:cs="仿宋_GB2312"/>
          <w:b w:val="0"/>
          <w:bCs/>
          <w:color w:val="auto"/>
          <w:sz w:val="32"/>
          <w:szCs w:val="32"/>
          <w:highlight w:val="none"/>
          <w:u w:val="none"/>
        </w:rPr>
        <w:t>领导干部学法培训、行政规范性文件合法性审核</w:t>
      </w:r>
      <w:r>
        <w:rPr>
          <w:rFonts w:hint="eastAsia" w:ascii="仿宋_GB2312" w:hAnsi="仿宋_GB2312" w:eastAsia="仿宋_GB2312" w:cs="仿宋_GB2312"/>
          <w:b w:val="0"/>
          <w:bCs/>
          <w:color w:val="auto"/>
          <w:sz w:val="32"/>
          <w:szCs w:val="32"/>
          <w:highlight w:val="none"/>
          <w:u w:val="none"/>
          <w:lang w:eastAsia="zh-CN"/>
        </w:rPr>
        <w:t>、</w:t>
      </w:r>
      <w:r>
        <w:rPr>
          <w:rFonts w:hint="eastAsia" w:ascii="仿宋_GB2312" w:hAnsi="仿宋_GB2312" w:eastAsia="仿宋_GB2312" w:cs="仿宋_GB2312"/>
          <w:b w:val="0"/>
          <w:bCs/>
          <w:color w:val="auto"/>
          <w:sz w:val="32"/>
          <w:szCs w:val="32"/>
          <w:highlight w:val="none"/>
          <w:u w:val="none"/>
        </w:rPr>
        <w:t>行政复议、应诉工作</w:t>
      </w:r>
      <w:r>
        <w:rPr>
          <w:rFonts w:hint="eastAsia" w:ascii="仿宋_GB2312" w:hAnsi="仿宋_GB2312" w:eastAsia="仿宋_GB2312" w:cs="仿宋_GB2312"/>
          <w:b w:val="0"/>
          <w:bCs/>
          <w:color w:val="auto"/>
          <w:sz w:val="32"/>
          <w:szCs w:val="32"/>
          <w:highlight w:val="none"/>
          <w:u w:val="none"/>
          <w:lang w:eastAsia="zh-CN"/>
        </w:rPr>
        <w:t>，</w:t>
      </w:r>
      <w:r>
        <w:rPr>
          <w:rFonts w:hint="eastAsia" w:ascii="仿宋_GB2312" w:hAnsi="仿宋_GB2312" w:eastAsia="仿宋_GB2312" w:cs="仿宋_GB2312"/>
          <w:b w:val="0"/>
          <w:bCs/>
          <w:color w:val="auto"/>
          <w:sz w:val="32"/>
          <w:szCs w:val="32"/>
          <w:highlight w:val="none"/>
          <w:u w:val="none"/>
        </w:rPr>
        <w:t>梳理制定行政调解职责清单，积极配合检察机关开展公益诉讼</w:t>
      </w:r>
      <w:r>
        <w:rPr>
          <w:rFonts w:hint="eastAsia" w:ascii="仿宋_GB2312" w:hAnsi="仿宋_GB2312" w:eastAsia="仿宋_GB2312" w:cs="仿宋_GB2312"/>
          <w:b w:val="0"/>
          <w:bCs/>
          <w:color w:val="auto"/>
          <w:sz w:val="32"/>
          <w:szCs w:val="32"/>
          <w:highlight w:val="none"/>
          <w:u w:val="none"/>
          <w:lang w:eastAsia="zh-CN"/>
        </w:rPr>
        <w:t>等。</w:t>
      </w:r>
      <w:r>
        <w:rPr>
          <w:rFonts w:hint="eastAsia" w:ascii="仿宋_GB2312" w:hAnsi="仿宋_GB2312" w:eastAsia="仿宋_GB2312" w:cs="仿宋_GB2312"/>
          <w:b/>
          <w:bCs w:val="0"/>
          <w:color w:val="auto"/>
          <w:sz w:val="32"/>
          <w:szCs w:val="32"/>
          <w:highlight w:val="none"/>
          <w:u w:val="none"/>
        </w:rPr>
        <w:t>推进</w:t>
      </w:r>
      <w:r>
        <w:rPr>
          <w:rFonts w:hint="eastAsia" w:ascii="仿宋_GB2312" w:hAnsi="仿宋_GB2312" w:eastAsia="仿宋_GB2312" w:cs="仿宋_GB2312"/>
          <w:b/>
          <w:bCs w:val="0"/>
          <w:color w:val="auto"/>
          <w:sz w:val="32"/>
          <w:szCs w:val="32"/>
          <w:highlight w:val="none"/>
          <w:u w:val="none"/>
          <w:lang w:eastAsia="zh-CN"/>
        </w:rPr>
        <w:t>政务建设</w:t>
      </w:r>
      <w:r>
        <w:rPr>
          <w:rFonts w:hint="eastAsia" w:ascii="仿宋_GB2312" w:hAnsi="仿宋_GB2312" w:eastAsia="仿宋_GB2312" w:cs="仿宋_GB2312"/>
          <w:b/>
          <w:bCs w:val="0"/>
          <w:color w:val="auto"/>
          <w:sz w:val="32"/>
          <w:szCs w:val="32"/>
          <w:highlight w:val="none"/>
          <w:u w:val="none"/>
        </w:rPr>
        <w:t>。</w:t>
      </w:r>
      <w:r>
        <w:rPr>
          <w:rFonts w:hint="eastAsia" w:ascii="仿宋_GB2312" w:hAnsi="仿宋_GB2312" w:eastAsia="仿宋_GB2312" w:cs="仿宋_GB2312"/>
          <w:b w:val="0"/>
          <w:bCs/>
          <w:color w:val="auto"/>
          <w:sz w:val="32"/>
          <w:szCs w:val="32"/>
          <w:highlight w:val="none"/>
          <w:u w:val="none"/>
          <w:lang w:eastAsia="zh-CN"/>
        </w:rPr>
        <w:t>推进</w:t>
      </w:r>
      <w:r>
        <w:rPr>
          <w:rFonts w:hint="eastAsia" w:ascii="仿宋_GB2312" w:hAnsi="仿宋_GB2312" w:eastAsia="仿宋_GB2312" w:cs="仿宋_GB2312"/>
          <w:b w:val="0"/>
          <w:bCs/>
          <w:color w:val="auto"/>
          <w:sz w:val="32"/>
          <w:szCs w:val="32"/>
          <w:highlight w:val="none"/>
          <w:u w:val="none"/>
        </w:rPr>
        <w:t>放管服改革</w:t>
      </w:r>
      <w:r>
        <w:rPr>
          <w:rFonts w:hint="eastAsia" w:ascii="仿宋_GB2312" w:hAnsi="仿宋_GB2312" w:eastAsia="仿宋_GB2312" w:cs="仿宋_GB2312"/>
          <w:b w:val="0"/>
          <w:bCs/>
          <w:color w:val="auto"/>
          <w:sz w:val="32"/>
          <w:szCs w:val="32"/>
          <w:highlight w:val="none"/>
          <w:u w:val="none"/>
          <w:lang w:eastAsia="zh-CN"/>
        </w:rPr>
        <w:t>，</w:t>
      </w:r>
      <w:r>
        <w:rPr>
          <w:rFonts w:hint="eastAsia" w:ascii="仿宋_GB2312" w:hAnsi="仿宋_GB2312" w:eastAsia="仿宋_GB2312" w:cs="仿宋_GB2312"/>
          <w:b w:val="0"/>
          <w:bCs/>
          <w:color w:val="auto"/>
          <w:sz w:val="32"/>
          <w:szCs w:val="32"/>
          <w:highlight w:val="none"/>
          <w:u w:val="none"/>
        </w:rPr>
        <w:t>梳理了“受理-审批-出单-出证”全新办理模式，推出营业执照领取“最长四小时”提速服务</w:t>
      </w:r>
      <w:r>
        <w:rPr>
          <w:rFonts w:hint="eastAsia" w:ascii="仿宋_GB2312" w:hAnsi="仿宋_GB2312" w:eastAsia="仿宋_GB2312" w:cs="仿宋_GB2312"/>
          <w:b w:val="0"/>
          <w:bCs/>
          <w:color w:val="auto"/>
          <w:sz w:val="32"/>
          <w:szCs w:val="32"/>
          <w:highlight w:val="none"/>
          <w:u w:val="none"/>
          <w:lang w:eastAsia="zh-CN"/>
        </w:rPr>
        <w:t>，</w:t>
      </w:r>
      <w:r>
        <w:rPr>
          <w:rFonts w:hint="eastAsia" w:ascii="仿宋_GB2312" w:hAnsi="仿宋_GB2312" w:eastAsia="仿宋_GB2312" w:cs="仿宋_GB2312"/>
          <w:b w:val="0"/>
          <w:bCs/>
          <w:color w:val="auto"/>
          <w:sz w:val="32"/>
          <w:szCs w:val="32"/>
          <w:highlight w:val="none"/>
          <w:u w:val="none"/>
        </w:rPr>
        <w:t>开展年度政务服务事项标准化核查工作，规范中介服务管理</w:t>
      </w:r>
      <w:r>
        <w:rPr>
          <w:rFonts w:hint="eastAsia" w:ascii="仿宋_GB2312" w:hAnsi="仿宋_GB2312" w:eastAsia="仿宋_GB2312" w:cs="仿宋_GB2312"/>
          <w:b w:val="0"/>
          <w:bCs/>
          <w:color w:val="auto"/>
          <w:sz w:val="32"/>
          <w:szCs w:val="32"/>
          <w:highlight w:val="none"/>
          <w:u w:val="none"/>
          <w:lang w:eastAsia="zh-CN"/>
        </w:rPr>
        <w:t>；落实</w:t>
      </w:r>
      <w:r>
        <w:rPr>
          <w:rFonts w:hint="eastAsia" w:ascii="仿宋_GB2312" w:hAnsi="仿宋_GB2312" w:eastAsia="仿宋_GB2312" w:cs="仿宋_GB2312"/>
          <w:b w:val="0"/>
          <w:bCs/>
          <w:color w:val="auto"/>
          <w:sz w:val="32"/>
          <w:szCs w:val="32"/>
          <w:highlight w:val="none"/>
          <w:u w:val="none"/>
        </w:rPr>
        <w:t>“一网通</w:t>
      </w:r>
      <w:r>
        <w:rPr>
          <w:rFonts w:hint="eastAsia" w:ascii="仿宋_GB2312" w:hAnsi="仿宋_GB2312" w:eastAsia="仿宋_GB2312" w:cs="仿宋_GB2312"/>
          <w:b w:val="0"/>
          <w:bCs/>
          <w:sz w:val="32"/>
          <w:szCs w:val="32"/>
          <w:highlight w:val="none"/>
          <w:u w:val="none"/>
        </w:rPr>
        <w:t>办”</w:t>
      </w:r>
      <w:r>
        <w:rPr>
          <w:rFonts w:hint="eastAsia" w:ascii="仿宋_GB2312" w:hAnsi="仿宋_GB2312" w:eastAsia="仿宋_GB2312" w:cs="仿宋_GB2312"/>
          <w:b w:val="0"/>
          <w:bCs/>
          <w:sz w:val="32"/>
          <w:szCs w:val="32"/>
          <w:highlight w:val="none"/>
          <w:u w:val="none"/>
          <w:lang w:eastAsia="zh-CN"/>
        </w:rPr>
        <w:t>，</w:t>
      </w:r>
      <w:r>
        <w:rPr>
          <w:rFonts w:hint="eastAsia" w:ascii="仿宋_GB2312" w:hAnsi="仿宋_GB2312" w:eastAsia="仿宋_GB2312" w:cs="仿宋_GB2312"/>
          <w:b w:val="0"/>
          <w:bCs/>
          <w:sz w:val="32"/>
          <w:szCs w:val="32"/>
          <w:highlight w:val="none"/>
          <w:u w:val="none"/>
        </w:rPr>
        <w:t>开展多渠道移动端的服务接入，完成“好差评”系统整改</w:t>
      </w:r>
      <w:r>
        <w:rPr>
          <w:rFonts w:hint="eastAsia" w:ascii="仿宋_GB2312" w:hAnsi="仿宋_GB2312" w:eastAsia="仿宋_GB2312" w:cs="仿宋_GB2312"/>
          <w:b w:val="0"/>
          <w:bCs/>
          <w:sz w:val="32"/>
          <w:szCs w:val="32"/>
          <w:highlight w:val="none"/>
          <w:u w:val="none"/>
          <w:lang w:eastAsia="zh-CN"/>
        </w:rPr>
        <w:t>；推进</w:t>
      </w:r>
      <w:r>
        <w:rPr>
          <w:rFonts w:hint="eastAsia" w:ascii="仿宋_GB2312" w:hAnsi="仿宋_GB2312" w:eastAsia="仿宋_GB2312" w:cs="仿宋_GB2312"/>
          <w:b w:val="0"/>
          <w:bCs/>
          <w:sz w:val="32"/>
          <w:szCs w:val="32"/>
          <w:highlight w:val="none"/>
          <w:u w:val="none"/>
        </w:rPr>
        <w:t>体系建设</w:t>
      </w:r>
      <w:r>
        <w:rPr>
          <w:rFonts w:hint="eastAsia" w:ascii="仿宋_GB2312" w:hAnsi="仿宋_GB2312" w:eastAsia="仿宋_GB2312" w:cs="仿宋_GB2312"/>
          <w:b w:val="0"/>
          <w:bCs/>
          <w:sz w:val="32"/>
          <w:szCs w:val="32"/>
          <w:highlight w:val="none"/>
          <w:u w:val="none"/>
          <w:lang w:eastAsia="zh-CN"/>
        </w:rPr>
        <w:t>，</w:t>
      </w:r>
      <w:r>
        <w:rPr>
          <w:rFonts w:hint="eastAsia" w:ascii="仿宋_GB2312" w:hAnsi="仿宋_GB2312" w:eastAsia="仿宋_GB2312" w:cs="仿宋_GB2312"/>
          <w:b w:val="0"/>
          <w:bCs/>
          <w:sz w:val="32"/>
          <w:szCs w:val="32"/>
          <w:highlight w:val="none"/>
          <w:u w:val="none"/>
        </w:rPr>
        <w:t>优化“朝好办”窗口服务</w:t>
      </w:r>
      <w:r>
        <w:rPr>
          <w:rFonts w:hint="eastAsia" w:ascii="仿宋_GB2312" w:hAnsi="仿宋_GB2312" w:eastAsia="仿宋_GB2312" w:cs="仿宋_GB2312"/>
          <w:b w:val="0"/>
          <w:bCs/>
          <w:sz w:val="32"/>
          <w:szCs w:val="32"/>
          <w:highlight w:val="none"/>
          <w:u w:val="none"/>
          <w:lang w:eastAsia="zh-CN"/>
        </w:rPr>
        <w:t>，落实</w:t>
      </w:r>
      <w:r>
        <w:rPr>
          <w:rFonts w:hint="eastAsia" w:ascii="仿宋_GB2312" w:hAnsi="仿宋_GB2312" w:eastAsia="仿宋_GB2312" w:cs="仿宋_GB2312"/>
          <w:b w:val="0"/>
          <w:bCs/>
          <w:sz w:val="32"/>
          <w:szCs w:val="32"/>
          <w:highlight w:val="none"/>
          <w:u w:val="none"/>
        </w:rPr>
        <w:t>各级政务服务场所延时服务工作</w:t>
      </w:r>
      <w:r>
        <w:rPr>
          <w:rFonts w:hint="eastAsia" w:ascii="仿宋_GB2312" w:hAnsi="仿宋_GB2312" w:eastAsia="仿宋_GB2312" w:cs="仿宋_GB2312"/>
          <w:b w:val="0"/>
          <w:bCs/>
          <w:sz w:val="32"/>
          <w:szCs w:val="32"/>
          <w:highlight w:val="none"/>
          <w:u w:val="none"/>
          <w:lang w:eastAsia="zh-CN"/>
        </w:rPr>
        <w:t>；推进政务公开，</w:t>
      </w:r>
      <w:r>
        <w:rPr>
          <w:rFonts w:hint="eastAsia" w:ascii="仿宋_GB2312" w:hAnsi="仿宋_GB2312" w:eastAsia="仿宋_GB2312" w:cs="仿宋_GB2312"/>
          <w:b w:val="0"/>
          <w:bCs/>
          <w:sz w:val="32"/>
          <w:szCs w:val="32"/>
          <w:highlight w:val="none"/>
          <w:u w:val="none"/>
        </w:rPr>
        <w:t>严格落实《中华人民共和国政府信息公开条例》</w:t>
      </w:r>
      <w:r>
        <w:rPr>
          <w:rFonts w:hint="eastAsia" w:ascii="仿宋_GB2312" w:hAnsi="仿宋_GB2312" w:eastAsia="仿宋_GB2312" w:cs="仿宋_GB2312"/>
          <w:b w:val="0"/>
          <w:bCs/>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黑体"/>
          <w:sz w:val="32"/>
          <w:szCs w:val="32"/>
          <w:highlight w:val="none"/>
          <w:u w:val="none"/>
        </w:rPr>
      </w:pPr>
      <w:r>
        <w:rPr>
          <w:rFonts w:hint="eastAsia" w:ascii="仿宋_GB2312" w:hAnsi="仿宋_GB2312" w:eastAsia="黑体"/>
          <w:sz w:val="32"/>
          <w:szCs w:val="32"/>
          <w:highlight w:val="none"/>
          <w:u w:val="none"/>
        </w:rPr>
        <w:t>三、存在问题及改进措施</w:t>
      </w:r>
    </w:p>
    <w:p>
      <w:pPr>
        <w:keepNext w:val="0"/>
        <w:keepLines w:val="0"/>
        <w:pageBreakBefore w:val="0"/>
        <w:widowControl w:val="0"/>
        <w:kinsoku/>
        <w:wordWrap/>
        <w:overflowPunct/>
        <w:topLinePunct/>
        <w:autoSpaceDE/>
        <w:autoSpaceDN/>
        <w:bidi w:val="0"/>
        <w:adjustRightInd/>
        <w:snapToGrid w:val="0"/>
        <w:spacing w:line="600" w:lineRule="exact"/>
        <w:ind w:left="0" w:leftChars="0" w:right="0" w:rightChars="0" w:firstLine="640" w:firstLineChars="200"/>
        <w:jc w:val="both"/>
        <w:textAlignment w:val="auto"/>
        <w:rPr>
          <w:rFonts w:hint="eastAsia" w:ascii="仿宋_GB2312" w:hAnsi="仿宋_GB2312" w:eastAsia="仿宋_GB2312"/>
          <w:snapToGrid w:val="0"/>
          <w:kern w:val="0"/>
          <w:sz w:val="32"/>
          <w:szCs w:val="32"/>
        </w:rPr>
      </w:pPr>
      <w:r>
        <w:rPr>
          <w:rFonts w:hint="eastAsia" w:ascii="仿宋_GB2312" w:hAnsi="仿宋_GB2312" w:eastAsia="仿宋_GB2312" w:cs="仿宋_GB2312"/>
          <w:b w:val="0"/>
          <w:bCs/>
          <w:sz w:val="32"/>
          <w:szCs w:val="32"/>
          <w:highlight w:val="none"/>
          <w:u w:val="none"/>
          <w:lang w:eastAsia="zh-CN"/>
        </w:rPr>
        <w:t>目前，朝阳</w:t>
      </w:r>
      <w:r>
        <w:rPr>
          <w:rFonts w:hint="eastAsia" w:ascii="仿宋_GB2312" w:hAnsi="仿宋_GB2312" w:eastAsia="仿宋_GB2312" w:cs="仿宋_GB2312"/>
          <w:b w:val="0"/>
          <w:bCs/>
          <w:sz w:val="32"/>
          <w:szCs w:val="32"/>
          <w:highlight w:val="none"/>
          <w:u w:val="none"/>
        </w:rPr>
        <w:t>区域发展还面临许多难题和挑战。一是保持经济平稳增长压力加大。疫情影响广泛深远，在传统增长动力减弱和疏解减量大背景下，实现高基数上的稳定增长，需要付出更大努力。二是科技创新支撑作用仍然不足。创新驱动的产业体系尚未完全形成，各领域应用场景还不广泛。三是城乡区域间发展不平衡问题依然存在。城乡之间、南北区域之间在产业发展、环境治理、公共服务等方面还存在较大差距，农村城市化进程有待加快。四是城市治理和民生保障水平与群众需求还有差距。城市精细化治理模式还需进一步创新，公共安全体系有待健全，教育</w:t>
      </w:r>
      <w:r>
        <w:rPr>
          <w:rFonts w:hint="eastAsia" w:ascii="仿宋_GB2312" w:hAnsi="仿宋_GB2312" w:eastAsia="仿宋_GB2312"/>
          <w:snapToGrid w:val="0"/>
          <w:kern w:val="0"/>
          <w:sz w:val="32"/>
          <w:szCs w:val="32"/>
        </w:rPr>
        <w:t>、卫生、住房等领域还存在一些薄弱环节。</w:t>
      </w:r>
    </w:p>
    <w:p>
      <w:pPr>
        <w:keepNext w:val="0"/>
        <w:keepLines w:val="0"/>
        <w:pageBreakBefore w:val="0"/>
        <w:widowControl w:val="0"/>
        <w:kinsoku/>
        <w:wordWrap/>
        <w:overflowPunct/>
        <w:topLinePunct/>
        <w:autoSpaceDE/>
        <w:autoSpaceDN/>
        <w:bidi w:val="0"/>
        <w:adjustRightInd/>
        <w:snapToGrid w:val="0"/>
        <w:spacing w:line="600" w:lineRule="exact"/>
        <w:ind w:left="0" w:leftChars="0" w:right="0" w:rightChars="0" w:firstLine="640" w:firstLineChars="200"/>
        <w:jc w:val="both"/>
        <w:textAlignment w:val="auto"/>
        <w:rPr>
          <w:rFonts w:ascii="仿宋_GB2312" w:hAnsi="仿宋_GB2312" w:eastAsia="仿宋_GB2312"/>
          <w:snapToGrid w:val="0"/>
          <w:kern w:val="0"/>
          <w:sz w:val="32"/>
          <w:szCs w:val="32"/>
          <w:highlight w:val="none"/>
          <w:u w:val="single"/>
        </w:rPr>
      </w:pPr>
      <w:bookmarkStart w:id="0" w:name="_GoBack"/>
      <w:bookmarkEnd w:id="0"/>
      <w:r>
        <w:rPr>
          <w:rFonts w:hint="eastAsia" w:ascii="仿宋_GB2312" w:hAnsi="仿宋_GB2312" w:eastAsia="仿宋_GB2312" w:cs="仿宋_GB2312"/>
          <w:b w:val="0"/>
          <w:bCs/>
          <w:sz w:val="32"/>
          <w:szCs w:val="32"/>
          <w:highlight w:val="none"/>
          <w:u w:val="none"/>
        </w:rPr>
        <w:t>我</w:t>
      </w:r>
      <w:r>
        <w:rPr>
          <w:rFonts w:hint="eastAsia" w:ascii="仿宋_GB2312" w:hAnsi="仿宋_GB2312" w:eastAsia="仿宋_GB2312" w:cs="仿宋_GB2312"/>
          <w:b w:val="0"/>
          <w:bCs/>
          <w:sz w:val="32"/>
          <w:szCs w:val="32"/>
          <w:highlight w:val="none"/>
          <w:u w:val="none"/>
          <w:lang w:eastAsia="zh-CN"/>
        </w:rPr>
        <w:t>区</w:t>
      </w:r>
      <w:r>
        <w:rPr>
          <w:rFonts w:hint="eastAsia" w:ascii="仿宋_GB2312" w:hAnsi="仿宋_GB2312" w:eastAsia="仿宋_GB2312" w:cs="仿宋_GB2312"/>
          <w:b w:val="0"/>
          <w:bCs/>
          <w:sz w:val="32"/>
          <w:szCs w:val="32"/>
          <w:highlight w:val="none"/>
          <w:u w:val="none"/>
        </w:rPr>
        <w:t>高度重视这些问题，</w:t>
      </w:r>
      <w:r>
        <w:rPr>
          <w:rFonts w:hint="eastAsia" w:ascii="仿宋_GB2312" w:hAnsi="仿宋_GB2312" w:eastAsia="仿宋_GB2312" w:cs="仿宋_GB2312"/>
          <w:b w:val="0"/>
          <w:bCs/>
          <w:sz w:val="32"/>
          <w:szCs w:val="32"/>
          <w:highlight w:val="none"/>
          <w:u w:val="none"/>
          <w:lang w:eastAsia="zh-CN"/>
        </w:rPr>
        <w:t>将深入落实城市总规，通过开展新一轮“疏解整治促提升”专项行动、实施城市更新行动、加快农村城市化步伐，增强发展新活力；紧</w:t>
      </w:r>
      <w:r>
        <w:rPr>
          <w:rFonts w:hint="eastAsia" w:ascii="仿宋_GB2312" w:hAnsi="仿宋_GB2312" w:eastAsia="仿宋_GB2312" w:cs="仿宋_GB2312"/>
          <w:snapToGrid w:val="0"/>
          <w:color w:val="000000" w:themeColor="text1"/>
          <w:kern w:val="0"/>
          <w:sz w:val="32"/>
          <w:szCs w:val="32"/>
          <w:highlight w:val="none"/>
          <w:u w:val="none"/>
          <w:lang w:eastAsia="zh-CN"/>
          <w14:textFill>
            <w14:solidFill>
              <w14:schemeClr w14:val="tx1"/>
            </w14:solidFill>
          </w14:textFill>
        </w:rPr>
        <w:t>抓“两区”建设机遇，通过力促政策落地见效、提升重点园区能级、持续优化营商环境，提高核心竞争力；突出创新引领作用，通过积极培育新需求、以数字化引领产业升级，增强产业转换新动能；持续扩大绿色空间，通过积极创建国家森林城市、持续打好污染防治攻坚战，增强生态承载力；深化精治共治法治，通过持续提升城市运转效能、安全保障能力，增强城市宜居性；紧扣“七有”“五性”需求，通过加大高质量公共服务供给、提高基层治理效能，增强群众获得感；践行为民服务宗旨，通过深入推进依法行政、持续提高工作能力、驰而不息改进作风，增强政府公信力。</w:t>
      </w:r>
    </w:p>
    <w:sectPr>
      <w:footerReference r:id="rId3" w:type="default"/>
      <w:footerReference r:id="rId4" w:type="even"/>
      <w:pgSz w:w="11906" w:h="16838"/>
      <w:pgMar w:top="2098" w:right="1474" w:bottom="2098" w:left="1588" w:header="851" w:footer="992" w:gutter="0"/>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_GBK">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adjustRightInd w:val="0"/>
                            <w:jc w:val="center"/>
                            <w:rPr>
                              <w:rStyle w:val="11"/>
                              <w:rFonts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31</w:t>
                          </w:r>
                          <w:r>
                            <w:rPr>
                              <w:rStyle w:val="11"/>
                              <w:rFonts w:ascii="宋体" w:hAnsi="宋体"/>
                              <w:sz w:val="28"/>
                              <w:szCs w:val="28"/>
                            </w:rPr>
                            <w:fldChar w:fldCharType="end"/>
                          </w:r>
                          <w:r>
                            <w:rPr>
                              <w:rStyle w:val="11"/>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adjustRightInd w:val="0"/>
                      <w:jc w:val="center"/>
                      <w:rPr>
                        <w:rStyle w:val="11"/>
                        <w:rFonts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31</w:t>
                    </w:r>
                    <w:r>
                      <w:rPr>
                        <w:rStyle w:val="11"/>
                        <w:rFonts w:ascii="宋体" w:hAnsi="宋体"/>
                        <w:sz w:val="28"/>
                        <w:szCs w:val="28"/>
                      </w:rPr>
                      <w:fldChar w:fldCharType="end"/>
                    </w:r>
                    <w:r>
                      <w:rPr>
                        <w:rStyle w:val="11"/>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adjustRightInd w:val="0"/>
                            <w:rPr>
                              <w:rStyle w:val="11"/>
                              <w:rFonts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32</w:t>
                          </w:r>
                          <w:r>
                            <w:rPr>
                              <w:rStyle w:val="11"/>
                              <w:rFonts w:ascii="宋体" w:hAnsi="宋体"/>
                              <w:sz w:val="28"/>
                              <w:szCs w:val="28"/>
                            </w:rPr>
                            <w:fldChar w:fldCharType="end"/>
                          </w:r>
                          <w:r>
                            <w:rPr>
                              <w:rStyle w:val="11"/>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8"/>
                      <w:adjustRightInd w:val="0"/>
                      <w:rPr>
                        <w:rStyle w:val="11"/>
                        <w:rFonts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32</w:t>
                    </w:r>
                    <w:r>
                      <w:rPr>
                        <w:rStyle w:val="11"/>
                        <w:rFonts w:ascii="宋体" w:hAnsi="宋体"/>
                        <w:sz w:val="28"/>
                        <w:szCs w:val="28"/>
                      </w:rPr>
                      <w:fldChar w:fldCharType="end"/>
                    </w:r>
                    <w:r>
                      <w:rPr>
                        <w:rStyle w:val="11"/>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469"/>
    <w:rsid w:val="00003197"/>
    <w:rsid w:val="00004262"/>
    <w:rsid w:val="00004324"/>
    <w:rsid w:val="00004EF5"/>
    <w:rsid w:val="00007D50"/>
    <w:rsid w:val="00007EAB"/>
    <w:rsid w:val="000107BA"/>
    <w:rsid w:val="000109B3"/>
    <w:rsid w:val="00011256"/>
    <w:rsid w:val="00011CD3"/>
    <w:rsid w:val="00012CD1"/>
    <w:rsid w:val="00013147"/>
    <w:rsid w:val="00014144"/>
    <w:rsid w:val="000168E7"/>
    <w:rsid w:val="0002028A"/>
    <w:rsid w:val="00020356"/>
    <w:rsid w:val="00022D77"/>
    <w:rsid w:val="000233ED"/>
    <w:rsid w:val="00024EB5"/>
    <w:rsid w:val="0002597C"/>
    <w:rsid w:val="00025FE5"/>
    <w:rsid w:val="00027837"/>
    <w:rsid w:val="00033CE8"/>
    <w:rsid w:val="00033E92"/>
    <w:rsid w:val="0004023F"/>
    <w:rsid w:val="0004101E"/>
    <w:rsid w:val="00042826"/>
    <w:rsid w:val="00043B4A"/>
    <w:rsid w:val="0004453E"/>
    <w:rsid w:val="00044828"/>
    <w:rsid w:val="0004708D"/>
    <w:rsid w:val="00047DDF"/>
    <w:rsid w:val="00050B22"/>
    <w:rsid w:val="000512A8"/>
    <w:rsid w:val="000527FF"/>
    <w:rsid w:val="00053E04"/>
    <w:rsid w:val="00055D5F"/>
    <w:rsid w:val="0005788C"/>
    <w:rsid w:val="00057B9D"/>
    <w:rsid w:val="000600EE"/>
    <w:rsid w:val="00067ED6"/>
    <w:rsid w:val="00071075"/>
    <w:rsid w:val="00072DEC"/>
    <w:rsid w:val="0007458A"/>
    <w:rsid w:val="00076EF5"/>
    <w:rsid w:val="0007766B"/>
    <w:rsid w:val="0008116A"/>
    <w:rsid w:val="00082333"/>
    <w:rsid w:val="00082DDE"/>
    <w:rsid w:val="00083778"/>
    <w:rsid w:val="00083DA3"/>
    <w:rsid w:val="00084197"/>
    <w:rsid w:val="00084966"/>
    <w:rsid w:val="00085CE9"/>
    <w:rsid w:val="000865EF"/>
    <w:rsid w:val="000867A1"/>
    <w:rsid w:val="00086850"/>
    <w:rsid w:val="00086B67"/>
    <w:rsid w:val="000902AB"/>
    <w:rsid w:val="00092173"/>
    <w:rsid w:val="00093053"/>
    <w:rsid w:val="0009359C"/>
    <w:rsid w:val="000963D6"/>
    <w:rsid w:val="000A27DD"/>
    <w:rsid w:val="000A2E1F"/>
    <w:rsid w:val="000A3179"/>
    <w:rsid w:val="000A3EB0"/>
    <w:rsid w:val="000A6340"/>
    <w:rsid w:val="000A6D18"/>
    <w:rsid w:val="000A6E57"/>
    <w:rsid w:val="000A7829"/>
    <w:rsid w:val="000B0032"/>
    <w:rsid w:val="000B0535"/>
    <w:rsid w:val="000B3074"/>
    <w:rsid w:val="000B3C30"/>
    <w:rsid w:val="000B5B74"/>
    <w:rsid w:val="000B6405"/>
    <w:rsid w:val="000C13C3"/>
    <w:rsid w:val="000C22E5"/>
    <w:rsid w:val="000C2981"/>
    <w:rsid w:val="000C6CDA"/>
    <w:rsid w:val="000C7663"/>
    <w:rsid w:val="000D25B8"/>
    <w:rsid w:val="000D265F"/>
    <w:rsid w:val="000D32ED"/>
    <w:rsid w:val="000D5274"/>
    <w:rsid w:val="000D6AB0"/>
    <w:rsid w:val="000E25D0"/>
    <w:rsid w:val="000E6FDD"/>
    <w:rsid w:val="000E7749"/>
    <w:rsid w:val="000F2F9E"/>
    <w:rsid w:val="000F324B"/>
    <w:rsid w:val="000F347D"/>
    <w:rsid w:val="000F5454"/>
    <w:rsid w:val="000F5A8F"/>
    <w:rsid w:val="000F604F"/>
    <w:rsid w:val="000F6B66"/>
    <w:rsid w:val="000F74D6"/>
    <w:rsid w:val="00103B60"/>
    <w:rsid w:val="0010552C"/>
    <w:rsid w:val="00107124"/>
    <w:rsid w:val="0010763D"/>
    <w:rsid w:val="00107CA5"/>
    <w:rsid w:val="001126AC"/>
    <w:rsid w:val="00114BF8"/>
    <w:rsid w:val="00115C2F"/>
    <w:rsid w:val="00117CA1"/>
    <w:rsid w:val="00120644"/>
    <w:rsid w:val="0012168C"/>
    <w:rsid w:val="00122A4C"/>
    <w:rsid w:val="00122FDF"/>
    <w:rsid w:val="00123617"/>
    <w:rsid w:val="00123C86"/>
    <w:rsid w:val="00123DD6"/>
    <w:rsid w:val="00124C77"/>
    <w:rsid w:val="001260CF"/>
    <w:rsid w:val="00127BCD"/>
    <w:rsid w:val="00130A75"/>
    <w:rsid w:val="00131220"/>
    <w:rsid w:val="001321D7"/>
    <w:rsid w:val="00134710"/>
    <w:rsid w:val="00140DF1"/>
    <w:rsid w:val="001502B1"/>
    <w:rsid w:val="001503F6"/>
    <w:rsid w:val="00151D29"/>
    <w:rsid w:val="0015298B"/>
    <w:rsid w:val="0015319F"/>
    <w:rsid w:val="001534FB"/>
    <w:rsid w:val="00154256"/>
    <w:rsid w:val="001547DF"/>
    <w:rsid w:val="00154EC8"/>
    <w:rsid w:val="0015774C"/>
    <w:rsid w:val="00160A70"/>
    <w:rsid w:val="001622E3"/>
    <w:rsid w:val="0016360C"/>
    <w:rsid w:val="00163C20"/>
    <w:rsid w:val="001649E4"/>
    <w:rsid w:val="00165E34"/>
    <w:rsid w:val="00166995"/>
    <w:rsid w:val="00166BFD"/>
    <w:rsid w:val="00166E61"/>
    <w:rsid w:val="00167B10"/>
    <w:rsid w:val="00171EB6"/>
    <w:rsid w:val="00172196"/>
    <w:rsid w:val="00172A27"/>
    <w:rsid w:val="00173B5E"/>
    <w:rsid w:val="00175D50"/>
    <w:rsid w:val="00176C0B"/>
    <w:rsid w:val="0017706F"/>
    <w:rsid w:val="001770A8"/>
    <w:rsid w:val="00177ECE"/>
    <w:rsid w:val="0018040C"/>
    <w:rsid w:val="001807DB"/>
    <w:rsid w:val="00180946"/>
    <w:rsid w:val="00181D52"/>
    <w:rsid w:val="00181FA8"/>
    <w:rsid w:val="00182EF0"/>
    <w:rsid w:val="00183921"/>
    <w:rsid w:val="00184811"/>
    <w:rsid w:val="00187A04"/>
    <w:rsid w:val="00190CEC"/>
    <w:rsid w:val="00190F9E"/>
    <w:rsid w:val="001917EF"/>
    <w:rsid w:val="00192D73"/>
    <w:rsid w:val="00195DC7"/>
    <w:rsid w:val="00197A27"/>
    <w:rsid w:val="001A3B98"/>
    <w:rsid w:val="001A4CA9"/>
    <w:rsid w:val="001A6236"/>
    <w:rsid w:val="001A6B42"/>
    <w:rsid w:val="001A6BF1"/>
    <w:rsid w:val="001A6D06"/>
    <w:rsid w:val="001A78F4"/>
    <w:rsid w:val="001A7FE6"/>
    <w:rsid w:val="001B02A9"/>
    <w:rsid w:val="001B1970"/>
    <w:rsid w:val="001B1D8F"/>
    <w:rsid w:val="001B3A68"/>
    <w:rsid w:val="001B400B"/>
    <w:rsid w:val="001B4FE8"/>
    <w:rsid w:val="001B4FF5"/>
    <w:rsid w:val="001C051C"/>
    <w:rsid w:val="001C1023"/>
    <w:rsid w:val="001C154C"/>
    <w:rsid w:val="001C1AA5"/>
    <w:rsid w:val="001C48F4"/>
    <w:rsid w:val="001C4C65"/>
    <w:rsid w:val="001C5795"/>
    <w:rsid w:val="001C727F"/>
    <w:rsid w:val="001D0575"/>
    <w:rsid w:val="001D3F51"/>
    <w:rsid w:val="001D4684"/>
    <w:rsid w:val="001D4915"/>
    <w:rsid w:val="001D5A42"/>
    <w:rsid w:val="001E0781"/>
    <w:rsid w:val="001E109B"/>
    <w:rsid w:val="001E271C"/>
    <w:rsid w:val="001E2BF6"/>
    <w:rsid w:val="001E32F9"/>
    <w:rsid w:val="001E4D11"/>
    <w:rsid w:val="001E56B4"/>
    <w:rsid w:val="001F0917"/>
    <w:rsid w:val="001F0E1F"/>
    <w:rsid w:val="001F1715"/>
    <w:rsid w:val="001F3825"/>
    <w:rsid w:val="001F38F8"/>
    <w:rsid w:val="001F3FCB"/>
    <w:rsid w:val="001F7F03"/>
    <w:rsid w:val="00201B71"/>
    <w:rsid w:val="002026C5"/>
    <w:rsid w:val="00202D75"/>
    <w:rsid w:val="00204DC7"/>
    <w:rsid w:val="0020545A"/>
    <w:rsid w:val="00206029"/>
    <w:rsid w:val="002078D5"/>
    <w:rsid w:val="002101B3"/>
    <w:rsid w:val="00210EC7"/>
    <w:rsid w:val="002111DA"/>
    <w:rsid w:val="0021186B"/>
    <w:rsid w:val="00213EBF"/>
    <w:rsid w:val="002140E2"/>
    <w:rsid w:val="002151CA"/>
    <w:rsid w:val="0021538F"/>
    <w:rsid w:val="00217A1E"/>
    <w:rsid w:val="00220290"/>
    <w:rsid w:val="00221AB3"/>
    <w:rsid w:val="00223C1C"/>
    <w:rsid w:val="00224BD0"/>
    <w:rsid w:val="0022555C"/>
    <w:rsid w:val="00226ABB"/>
    <w:rsid w:val="0022749E"/>
    <w:rsid w:val="0023124A"/>
    <w:rsid w:val="00231D1A"/>
    <w:rsid w:val="00234AE8"/>
    <w:rsid w:val="00235D57"/>
    <w:rsid w:val="0023602D"/>
    <w:rsid w:val="00236829"/>
    <w:rsid w:val="002378DD"/>
    <w:rsid w:val="00240A1D"/>
    <w:rsid w:val="00241AA6"/>
    <w:rsid w:val="00242BE4"/>
    <w:rsid w:val="002431BA"/>
    <w:rsid w:val="0024397F"/>
    <w:rsid w:val="00244292"/>
    <w:rsid w:val="00245A75"/>
    <w:rsid w:val="002473BA"/>
    <w:rsid w:val="002478C3"/>
    <w:rsid w:val="0025338C"/>
    <w:rsid w:val="00253F67"/>
    <w:rsid w:val="00254C88"/>
    <w:rsid w:val="002566A0"/>
    <w:rsid w:val="00260FE2"/>
    <w:rsid w:val="00264717"/>
    <w:rsid w:val="00264FD6"/>
    <w:rsid w:val="00270482"/>
    <w:rsid w:val="00270B5A"/>
    <w:rsid w:val="002718D9"/>
    <w:rsid w:val="00272045"/>
    <w:rsid w:val="002726DA"/>
    <w:rsid w:val="0027292C"/>
    <w:rsid w:val="00273C19"/>
    <w:rsid w:val="00274C1F"/>
    <w:rsid w:val="0027560E"/>
    <w:rsid w:val="00276A2E"/>
    <w:rsid w:val="00277D84"/>
    <w:rsid w:val="00280442"/>
    <w:rsid w:val="00281C92"/>
    <w:rsid w:val="00283BEF"/>
    <w:rsid w:val="00283E27"/>
    <w:rsid w:val="002849A6"/>
    <w:rsid w:val="00285D21"/>
    <w:rsid w:val="00291951"/>
    <w:rsid w:val="00293BEC"/>
    <w:rsid w:val="00293D3D"/>
    <w:rsid w:val="00295057"/>
    <w:rsid w:val="00297577"/>
    <w:rsid w:val="002978C2"/>
    <w:rsid w:val="00297D75"/>
    <w:rsid w:val="002A2707"/>
    <w:rsid w:val="002A3523"/>
    <w:rsid w:val="002A5434"/>
    <w:rsid w:val="002A56CC"/>
    <w:rsid w:val="002A7A83"/>
    <w:rsid w:val="002A7DBD"/>
    <w:rsid w:val="002B09AE"/>
    <w:rsid w:val="002B09AF"/>
    <w:rsid w:val="002B0C5E"/>
    <w:rsid w:val="002B0CA9"/>
    <w:rsid w:val="002B191A"/>
    <w:rsid w:val="002B1EFE"/>
    <w:rsid w:val="002B2C02"/>
    <w:rsid w:val="002B314A"/>
    <w:rsid w:val="002B6DA0"/>
    <w:rsid w:val="002B7263"/>
    <w:rsid w:val="002C425C"/>
    <w:rsid w:val="002C46EE"/>
    <w:rsid w:val="002C517C"/>
    <w:rsid w:val="002C5D2D"/>
    <w:rsid w:val="002C605B"/>
    <w:rsid w:val="002D2348"/>
    <w:rsid w:val="002D4422"/>
    <w:rsid w:val="002D5B94"/>
    <w:rsid w:val="002E0322"/>
    <w:rsid w:val="002E0A12"/>
    <w:rsid w:val="002E1207"/>
    <w:rsid w:val="002E24E5"/>
    <w:rsid w:val="002E47CF"/>
    <w:rsid w:val="002E5E7A"/>
    <w:rsid w:val="002E6EB9"/>
    <w:rsid w:val="002F0453"/>
    <w:rsid w:val="002F0A8E"/>
    <w:rsid w:val="002F0FE2"/>
    <w:rsid w:val="002F5549"/>
    <w:rsid w:val="002F5A86"/>
    <w:rsid w:val="002F673A"/>
    <w:rsid w:val="00300B1F"/>
    <w:rsid w:val="00303279"/>
    <w:rsid w:val="0030383E"/>
    <w:rsid w:val="003039C0"/>
    <w:rsid w:val="00303EF5"/>
    <w:rsid w:val="00304D58"/>
    <w:rsid w:val="00304D9D"/>
    <w:rsid w:val="00310447"/>
    <w:rsid w:val="003139E1"/>
    <w:rsid w:val="003147EE"/>
    <w:rsid w:val="00314D34"/>
    <w:rsid w:val="00316072"/>
    <w:rsid w:val="003165B2"/>
    <w:rsid w:val="00316DA9"/>
    <w:rsid w:val="00316E8A"/>
    <w:rsid w:val="003173EB"/>
    <w:rsid w:val="00321155"/>
    <w:rsid w:val="00321221"/>
    <w:rsid w:val="00321589"/>
    <w:rsid w:val="0032194F"/>
    <w:rsid w:val="00321D26"/>
    <w:rsid w:val="003245C9"/>
    <w:rsid w:val="00325A66"/>
    <w:rsid w:val="00326714"/>
    <w:rsid w:val="00326AA5"/>
    <w:rsid w:val="00332500"/>
    <w:rsid w:val="003330A5"/>
    <w:rsid w:val="00336382"/>
    <w:rsid w:val="00336F83"/>
    <w:rsid w:val="0033780A"/>
    <w:rsid w:val="00340051"/>
    <w:rsid w:val="00340160"/>
    <w:rsid w:val="00340D84"/>
    <w:rsid w:val="00344F0E"/>
    <w:rsid w:val="00346F0D"/>
    <w:rsid w:val="00346FC9"/>
    <w:rsid w:val="00347F32"/>
    <w:rsid w:val="003508F6"/>
    <w:rsid w:val="003529B7"/>
    <w:rsid w:val="00355E83"/>
    <w:rsid w:val="003560F6"/>
    <w:rsid w:val="00356466"/>
    <w:rsid w:val="00357A77"/>
    <w:rsid w:val="00360371"/>
    <w:rsid w:val="0036262C"/>
    <w:rsid w:val="00363502"/>
    <w:rsid w:val="00364ACC"/>
    <w:rsid w:val="003674A1"/>
    <w:rsid w:val="00367D55"/>
    <w:rsid w:val="00370676"/>
    <w:rsid w:val="0037175A"/>
    <w:rsid w:val="00374450"/>
    <w:rsid w:val="00374E86"/>
    <w:rsid w:val="00376730"/>
    <w:rsid w:val="003771C8"/>
    <w:rsid w:val="00380796"/>
    <w:rsid w:val="00380C95"/>
    <w:rsid w:val="00381E76"/>
    <w:rsid w:val="00382248"/>
    <w:rsid w:val="00384FE5"/>
    <w:rsid w:val="00387D60"/>
    <w:rsid w:val="00390471"/>
    <w:rsid w:val="003907AA"/>
    <w:rsid w:val="00391DCA"/>
    <w:rsid w:val="003934F2"/>
    <w:rsid w:val="00393C5B"/>
    <w:rsid w:val="00397240"/>
    <w:rsid w:val="00397BB0"/>
    <w:rsid w:val="003A0D30"/>
    <w:rsid w:val="003A2C10"/>
    <w:rsid w:val="003A3000"/>
    <w:rsid w:val="003A74DA"/>
    <w:rsid w:val="003A7EC5"/>
    <w:rsid w:val="003A7FDB"/>
    <w:rsid w:val="003B0F39"/>
    <w:rsid w:val="003B1542"/>
    <w:rsid w:val="003B2837"/>
    <w:rsid w:val="003B379B"/>
    <w:rsid w:val="003B5654"/>
    <w:rsid w:val="003C14A5"/>
    <w:rsid w:val="003C1D16"/>
    <w:rsid w:val="003C1DAF"/>
    <w:rsid w:val="003C2940"/>
    <w:rsid w:val="003C350A"/>
    <w:rsid w:val="003C3A66"/>
    <w:rsid w:val="003C4325"/>
    <w:rsid w:val="003C43AB"/>
    <w:rsid w:val="003C6A61"/>
    <w:rsid w:val="003D212A"/>
    <w:rsid w:val="003D2503"/>
    <w:rsid w:val="003D2647"/>
    <w:rsid w:val="003D2E72"/>
    <w:rsid w:val="003D301C"/>
    <w:rsid w:val="003D30A8"/>
    <w:rsid w:val="003D5660"/>
    <w:rsid w:val="003D5AF3"/>
    <w:rsid w:val="003D643F"/>
    <w:rsid w:val="003D7D3C"/>
    <w:rsid w:val="003E0C63"/>
    <w:rsid w:val="003E0D1F"/>
    <w:rsid w:val="003E2958"/>
    <w:rsid w:val="003E2E94"/>
    <w:rsid w:val="003E43D4"/>
    <w:rsid w:val="003E4647"/>
    <w:rsid w:val="003E4822"/>
    <w:rsid w:val="003F22B6"/>
    <w:rsid w:val="003F24FB"/>
    <w:rsid w:val="003F393D"/>
    <w:rsid w:val="003F53A0"/>
    <w:rsid w:val="003F576A"/>
    <w:rsid w:val="004001FB"/>
    <w:rsid w:val="0040081A"/>
    <w:rsid w:val="00400C35"/>
    <w:rsid w:val="00401AB9"/>
    <w:rsid w:val="004049D7"/>
    <w:rsid w:val="0040518E"/>
    <w:rsid w:val="00405E89"/>
    <w:rsid w:val="00406BC5"/>
    <w:rsid w:val="00406E00"/>
    <w:rsid w:val="0041061D"/>
    <w:rsid w:val="00410A55"/>
    <w:rsid w:val="00411A99"/>
    <w:rsid w:val="0041248D"/>
    <w:rsid w:val="00412648"/>
    <w:rsid w:val="00413637"/>
    <w:rsid w:val="00413AC1"/>
    <w:rsid w:val="00416062"/>
    <w:rsid w:val="0041625C"/>
    <w:rsid w:val="0042044E"/>
    <w:rsid w:val="0042132C"/>
    <w:rsid w:val="0042238A"/>
    <w:rsid w:val="0042258A"/>
    <w:rsid w:val="00433D8D"/>
    <w:rsid w:val="0043437F"/>
    <w:rsid w:val="00436589"/>
    <w:rsid w:val="00436729"/>
    <w:rsid w:val="00436D05"/>
    <w:rsid w:val="0043701F"/>
    <w:rsid w:val="00440177"/>
    <w:rsid w:val="004413B9"/>
    <w:rsid w:val="004441FB"/>
    <w:rsid w:val="004453B9"/>
    <w:rsid w:val="00445458"/>
    <w:rsid w:val="004506F8"/>
    <w:rsid w:val="0045098F"/>
    <w:rsid w:val="00450DF1"/>
    <w:rsid w:val="004551FE"/>
    <w:rsid w:val="00455CC4"/>
    <w:rsid w:val="00455D3D"/>
    <w:rsid w:val="00457538"/>
    <w:rsid w:val="00457D6C"/>
    <w:rsid w:val="00462216"/>
    <w:rsid w:val="00462C51"/>
    <w:rsid w:val="00462F15"/>
    <w:rsid w:val="00464596"/>
    <w:rsid w:val="00464EAE"/>
    <w:rsid w:val="00474CE2"/>
    <w:rsid w:val="004778E8"/>
    <w:rsid w:val="00477B23"/>
    <w:rsid w:val="004816E9"/>
    <w:rsid w:val="00482220"/>
    <w:rsid w:val="0048264D"/>
    <w:rsid w:val="00484219"/>
    <w:rsid w:val="00486D0B"/>
    <w:rsid w:val="004900C3"/>
    <w:rsid w:val="0049092B"/>
    <w:rsid w:val="00490D10"/>
    <w:rsid w:val="004917CE"/>
    <w:rsid w:val="00491E26"/>
    <w:rsid w:val="00493D43"/>
    <w:rsid w:val="00496CE5"/>
    <w:rsid w:val="0049727A"/>
    <w:rsid w:val="004A1920"/>
    <w:rsid w:val="004A196F"/>
    <w:rsid w:val="004A1F1C"/>
    <w:rsid w:val="004A1FC0"/>
    <w:rsid w:val="004A4A7B"/>
    <w:rsid w:val="004A5305"/>
    <w:rsid w:val="004A5378"/>
    <w:rsid w:val="004B2A99"/>
    <w:rsid w:val="004B2EC4"/>
    <w:rsid w:val="004B3DCA"/>
    <w:rsid w:val="004B561B"/>
    <w:rsid w:val="004B64D7"/>
    <w:rsid w:val="004B72FC"/>
    <w:rsid w:val="004B7B4D"/>
    <w:rsid w:val="004C0097"/>
    <w:rsid w:val="004C0166"/>
    <w:rsid w:val="004C0A61"/>
    <w:rsid w:val="004C1237"/>
    <w:rsid w:val="004C256A"/>
    <w:rsid w:val="004C3F4C"/>
    <w:rsid w:val="004C54A3"/>
    <w:rsid w:val="004C636D"/>
    <w:rsid w:val="004D5945"/>
    <w:rsid w:val="004D7884"/>
    <w:rsid w:val="004D7E16"/>
    <w:rsid w:val="004E0536"/>
    <w:rsid w:val="004E1520"/>
    <w:rsid w:val="004E205B"/>
    <w:rsid w:val="004F01A9"/>
    <w:rsid w:val="004F1719"/>
    <w:rsid w:val="004F24D0"/>
    <w:rsid w:val="004F3E63"/>
    <w:rsid w:val="004F4F7D"/>
    <w:rsid w:val="004F5B22"/>
    <w:rsid w:val="004F6277"/>
    <w:rsid w:val="00501857"/>
    <w:rsid w:val="00502FC9"/>
    <w:rsid w:val="005042D2"/>
    <w:rsid w:val="005044DA"/>
    <w:rsid w:val="00505A99"/>
    <w:rsid w:val="00505E42"/>
    <w:rsid w:val="0050636A"/>
    <w:rsid w:val="005065B4"/>
    <w:rsid w:val="00510EB6"/>
    <w:rsid w:val="00513BB0"/>
    <w:rsid w:val="00514883"/>
    <w:rsid w:val="0052074A"/>
    <w:rsid w:val="00521379"/>
    <w:rsid w:val="00521A4D"/>
    <w:rsid w:val="00523B58"/>
    <w:rsid w:val="0053168A"/>
    <w:rsid w:val="00531755"/>
    <w:rsid w:val="00531BED"/>
    <w:rsid w:val="00532505"/>
    <w:rsid w:val="005328FE"/>
    <w:rsid w:val="005349F9"/>
    <w:rsid w:val="00534BB5"/>
    <w:rsid w:val="00535783"/>
    <w:rsid w:val="00535797"/>
    <w:rsid w:val="00536027"/>
    <w:rsid w:val="00542460"/>
    <w:rsid w:val="0054253C"/>
    <w:rsid w:val="00543CF0"/>
    <w:rsid w:val="00547756"/>
    <w:rsid w:val="00551229"/>
    <w:rsid w:val="00551254"/>
    <w:rsid w:val="005517DF"/>
    <w:rsid w:val="00551AE1"/>
    <w:rsid w:val="005523F5"/>
    <w:rsid w:val="00552AA7"/>
    <w:rsid w:val="00552DD2"/>
    <w:rsid w:val="005536F1"/>
    <w:rsid w:val="00553A03"/>
    <w:rsid w:val="005542EE"/>
    <w:rsid w:val="00555A49"/>
    <w:rsid w:val="00555D97"/>
    <w:rsid w:val="00556042"/>
    <w:rsid w:val="00557748"/>
    <w:rsid w:val="00557850"/>
    <w:rsid w:val="00560AC0"/>
    <w:rsid w:val="0056217B"/>
    <w:rsid w:val="00562433"/>
    <w:rsid w:val="0056420E"/>
    <w:rsid w:val="00564487"/>
    <w:rsid w:val="005675D5"/>
    <w:rsid w:val="00567BED"/>
    <w:rsid w:val="00567E47"/>
    <w:rsid w:val="00571BD9"/>
    <w:rsid w:val="005721B1"/>
    <w:rsid w:val="00572C5A"/>
    <w:rsid w:val="00573F88"/>
    <w:rsid w:val="00575C38"/>
    <w:rsid w:val="0057603E"/>
    <w:rsid w:val="005764A5"/>
    <w:rsid w:val="00577E91"/>
    <w:rsid w:val="00580250"/>
    <w:rsid w:val="00580B6B"/>
    <w:rsid w:val="00581B62"/>
    <w:rsid w:val="00587B6C"/>
    <w:rsid w:val="00590AF7"/>
    <w:rsid w:val="00590DC0"/>
    <w:rsid w:val="00590F8A"/>
    <w:rsid w:val="00594E6B"/>
    <w:rsid w:val="0059522D"/>
    <w:rsid w:val="0059544E"/>
    <w:rsid w:val="005955D1"/>
    <w:rsid w:val="005A139E"/>
    <w:rsid w:val="005A13A5"/>
    <w:rsid w:val="005A256A"/>
    <w:rsid w:val="005A2CE0"/>
    <w:rsid w:val="005A2D16"/>
    <w:rsid w:val="005A5356"/>
    <w:rsid w:val="005A54B8"/>
    <w:rsid w:val="005A6556"/>
    <w:rsid w:val="005A7F3A"/>
    <w:rsid w:val="005B066C"/>
    <w:rsid w:val="005B1BAD"/>
    <w:rsid w:val="005B1F6D"/>
    <w:rsid w:val="005B380E"/>
    <w:rsid w:val="005B6EBF"/>
    <w:rsid w:val="005B7395"/>
    <w:rsid w:val="005C1190"/>
    <w:rsid w:val="005C1505"/>
    <w:rsid w:val="005C330B"/>
    <w:rsid w:val="005C3F10"/>
    <w:rsid w:val="005C4265"/>
    <w:rsid w:val="005C4736"/>
    <w:rsid w:val="005C661F"/>
    <w:rsid w:val="005D1221"/>
    <w:rsid w:val="005D361A"/>
    <w:rsid w:val="005D6801"/>
    <w:rsid w:val="005E1065"/>
    <w:rsid w:val="005E19D8"/>
    <w:rsid w:val="005E5E10"/>
    <w:rsid w:val="005E6A3F"/>
    <w:rsid w:val="005E6EA3"/>
    <w:rsid w:val="005E7073"/>
    <w:rsid w:val="005E7E35"/>
    <w:rsid w:val="005F1334"/>
    <w:rsid w:val="005F163A"/>
    <w:rsid w:val="005F4F00"/>
    <w:rsid w:val="005F517C"/>
    <w:rsid w:val="005F5BC6"/>
    <w:rsid w:val="005F6E91"/>
    <w:rsid w:val="005F7397"/>
    <w:rsid w:val="005F7ABF"/>
    <w:rsid w:val="005F7C87"/>
    <w:rsid w:val="006003DB"/>
    <w:rsid w:val="00604135"/>
    <w:rsid w:val="006055E4"/>
    <w:rsid w:val="00607B77"/>
    <w:rsid w:val="0061127F"/>
    <w:rsid w:val="00613BB1"/>
    <w:rsid w:val="006147EA"/>
    <w:rsid w:val="00614EE0"/>
    <w:rsid w:val="00615630"/>
    <w:rsid w:val="00617074"/>
    <w:rsid w:val="006267F4"/>
    <w:rsid w:val="00630069"/>
    <w:rsid w:val="0063113F"/>
    <w:rsid w:val="0063239A"/>
    <w:rsid w:val="00636B6C"/>
    <w:rsid w:val="006378B3"/>
    <w:rsid w:val="0064043E"/>
    <w:rsid w:val="00641349"/>
    <w:rsid w:val="00642592"/>
    <w:rsid w:val="0064321E"/>
    <w:rsid w:val="00643611"/>
    <w:rsid w:val="00645216"/>
    <w:rsid w:val="0064528A"/>
    <w:rsid w:val="00645584"/>
    <w:rsid w:val="00647167"/>
    <w:rsid w:val="00650725"/>
    <w:rsid w:val="006527AB"/>
    <w:rsid w:val="00653F03"/>
    <w:rsid w:val="00654DE2"/>
    <w:rsid w:val="00655309"/>
    <w:rsid w:val="00657A91"/>
    <w:rsid w:val="00661719"/>
    <w:rsid w:val="006648DB"/>
    <w:rsid w:val="00666182"/>
    <w:rsid w:val="00666AE4"/>
    <w:rsid w:val="00667328"/>
    <w:rsid w:val="00672125"/>
    <w:rsid w:val="00672183"/>
    <w:rsid w:val="006749D4"/>
    <w:rsid w:val="006755D0"/>
    <w:rsid w:val="00675978"/>
    <w:rsid w:val="00676392"/>
    <w:rsid w:val="0069068A"/>
    <w:rsid w:val="00692B72"/>
    <w:rsid w:val="00692FE3"/>
    <w:rsid w:val="00693839"/>
    <w:rsid w:val="00694115"/>
    <w:rsid w:val="0069568B"/>
    <w:rsid w:val="00695F97"/>
    <w:rsid w:val="006960D3"/>
    <w:rsid w:val="0069669D"/>
    <w:rsid w:val="00696DE0"/>
    <w:rsid w:val="006A0F6F"/>
    <w:rsid w:val="006A2273"/>
    <w:rsid w:val="006A26F2"/>
    <w:rsid w:val="006A60F9"/>
    <w:rsid w:val="006A736F"/>
    <w:rsid w:val="006B3264"/>
    <w:rsid w:val="006B3267"/>
    <w:rsid w:val="006B3A7C"/>
    <w:rsid w:val="006B510C"/>
    <w:rsid w:val="006C4A3D"/>
    <w:rsid w:val="006C4ED8"/>
    <w:rsid w:val="006C5848"/>
    <w:rsid w:val="006C7B70"/>
    <w:rsid w:val="006D0C4A"/>
    <w:rsid w:val="006D0CB7"/>
    <w:rsid w:val="006D1DA8"/>
    <w:rsid w:val="006D33FB"/>
    <w:rsid w:val="006D4635"/>
    <w:rsid w:val="006D5442"/>
    <w:rsid w:val="006D7E17"/>
    <w:rsid w:val="006E051F"/>
    <w:rsid w:val="006E1F95"/>
    <w:rsid w:val="006E2703"/>
    <w:rsid w:val="006E27FB"/>
    <w:rsid w:val="006E4430"/>
    <w:rsid w:val="006E52F3"/>
    <w:rsid w:val="006E629F"/>
    <w:rsid w:val="006E6695"/>
    <w:rsid w:val="006E7060"/>
    <w:rsid w:val="006E7DC6"/>
    <w:rsid w:val="006F1336"/>
    <w:rsid w:val="006F1D3B"/>
    <w:rsid w:val="006F2408"/>
    <w:rsid w:val="0070039C"/>
    <w:rsid w:val="00700C89"/>
    <w:rsid w:val="00704E2F"/>
    <w:rsid w:val="00707865"/>
    <w:rsid w:val="007102C5"/>
    <w:rsid w:val="00711144"/>
    <w:rsid w:val="0071294B"/>
    <w:rsid w:val="0071466E"/>
    <w:rsid w:val="0071593B"/>
    <w:rsid w:val="00715F78"/>
    <w:rsid w:val="00717030"/>
    <w:rsid w:val="007218CF"/>
    <w:rsid w:val="00722D9A"/>
    <w:rsid w:val="00722E76"/>
    <w:rsid w:val="0072381B"/>
    <w:rsid w:val="00730A56"/>
    <w:rsid w:val="00730EA5"/>
    <w:rsid w:val="0073145A"/>
    <w:rsid w:val="00732743"/>
    <w:rsid w:val="00732AC1"/>
    <w:rsid w:val="0073393F"/>
    <w:rsid w:val="00733F41"/>
    <w:rsid w:val="00735F65"/>
    <w:rsid w:val="00737B69"/>
    <w:rsid w:val="00737BB7"/>
    <w:rsid w:val="00740919"/>
    <w:rsid w:val="007409E9"/>
    <w:rsid w:val="00741144"/>
    <w:rsid w:val="007412BA"/>
    <w:rsid w:val="00741686"/>
    <w:rsid w:val="0074555F"/>
    <w:rsid w:val="00747370"/>
    <w:rsid w:val="00747DC9"/>
    <w:rsid w:val="007509E4"/>
    <w:rsid w:val="007521D7"/>
    <w:rsid w:val="007534E4"/>
    <w:rsid w:val="007543D7"/>
    <w:rsid w:val="0075601E"/>
    <w:rsid w:val="0076027D"/>
    <w:rsid w:val="0076128E"/>
    <w:rsid w:val="007637B0"/>
    <w:rsid w:val="00764623"/>
    <w:rsid w:val="007650CA"/>
    <w:rsid w:val="007819F3"/>
    <w:rsid w:val="007820DF"/>
    <w:rsid w:val="00782453"/>
    <w:rsid w:val="0078457E"/>
    <w:rsid w:val="00785450"/>
    <w:rsid w:val="00787949"/>
    <w:rsid w:val="00790026"/>
    <w:rsid w:val="00793635"/>
    <w:rsid w:val="00793EED"/>
    <w:rsid w:val="00794198"/>
    <w:rsid w:val="00795D1C"/>
    <w:rsid w:val="00797311"/>
    <w:rsid w:val="007A016A"/>
    <w:rsid w:val="007A17C7"/>
    <w:rsid w:val="007A22C8"/>
    <w:rsid w:val="007A2760"/>
    <w:rsid w:val="007A3041"/>
    <w:rsid w:val="007A37A3"/>
    <w:rsid w:val="007A6799"/>
    <w:rsid w:val="007B0D4C"/>
    <w:rsid w:val="007B2F41"/>
    <w:rsid w:val="007B3E0B"/>
    <w:rsid w:val="007C074B"/>
    <w:rsid w:val="007C2817"/>
    <w:rsid w:val="007C2A87"/>
    <w:rsid w:val="007C57E6"/>
    <w:rsid w:val="007C5F88"/>
    <w:rsid w:val="007C60CE"/>
    <w:rsid w:val="007C68E9"/>
    <w:rsid w:val="007D0454"/>
    <w:rsid w:val="007D111B"/>
    <w:rsid w:val="007D1885"/>
    <w:rsid w:val="007D283E"/>
    <w:rsid w:val="007D2CDF"/>
    <w:rsid w:val="007E1123"/>
    <w:rsid w:val="007E1DFD"/>
    <w:rsid w:val="007E2C8C"/>
    <w:rsid w:val="007E5B84"/>
    <w:rsid w:val="007E63F4"/>
    <w:rsid w:val="007E68C4"/>
    <w:rsid w:val="007E7400"/>
    <w:rsid w:val="007F04F0"/>
    <w:rsid w:val="007F1173"/>
    <w:rsid w:val="007F295D"/>
    <w:rsid w:val="007F3436"/>
    <w:rsid w:val="007F446F"/>
    <w:rsid w:val="007F47CA"/>
    <w:rsid w:val="00804E49"/>
    <w:rsid w:val="0080549C"/>
    <w:rsid w:val="008059E5"/>
    <w:rsid w:val="0080744C"/>
    <w:rsid w:val="00812168"/>
    <w:rsid w:val="00815B71"/>
    <w:rsid w:val="00815E14"/>
    <w:rsid w:val="00816414"/>
    <w:rsid w:val="00817F1F"/>
    <w:rsid w:val="008200E3"/>
    <w:rsid w:val="0082061F"/>
    <w:rsid w:val="0082130B"/>
    <w:rsid w:val="00824388"/>
    <w:rsid w:val="00831C42"/>
    <w:rsid w:val="0083246C"/>
    <w:rsid w:val="008324F2"/>
    <w:rsid w:val="0083437D"/>
    <w:rsid w:val="008348CF"/>
    <w:rsid w:val="00834C07"/>
    <w:rsid w:val="00834EF2"/>
    <w:rsid w:val="00837EA3"/>
    <w:rsid w:val="008404E4"/>
    <w:rsid w:val="00840F8C"/>
    <w:rsid w:val="0084103F"/>
    <w:rsid w:val="00841320"/>
    <w:rsid w:val="0084398F"/>
    <w:rsid w:val="00843FF2"/>
    <w:rsid w:val="008462C2"/>
    <w:rsid w:val="0084694E"/>
    <w:rsid w:val="008476A4"/>
    <w:rsid w:val="00847938"/>
    <w:rsid w:val="00851FE0"/>
    <w:rsid w:val="00852806"/>
    <w:rsid w:val="00852F10"/>
    <w:rsid w:val="008532B7"/>
    <w:rsid w:val="00853A96"/>
    <w:rsid w:val="008540B1"/>
    <w:rsid w:val="00854215"/>
    <w:rsid w:val="00855AA2"/>
    <w:rsid w:val="00856269"/>
    <w:rsid w:val="00856C65"/>
    <w:rsid w:val="00857E4E"/>
    <w:rsid w:val="00857FD4"/>
    <w:rsid w:val="008600E2"/>
    <w:rsid w:val="00860C7F"/>
    <w:rsid w:val="00860CDC"/>
    <w:rsid w:val="0086146B"/>
    <w:rsid w:val="00861722"/>
    <w:rsid w:val="008642A4"/>
    <w:rsid w:val="00865F3E"/>
    <w:rsid w:val="008664D5"/>
    <w:rsid w:val="0086697A"/>
    <w:rsid w:val="00866984"/>
    <w:rsid w:val="0087177A"/>
    <w:rsid w:val="00871C15"/>
    <w:rsid w:val="008725C3"/>
    <w:rsid w:val="008730D7"/>
    <w:rsid w:val="00875326"/>
    <w:rsid w:val="008754F0"/>
    <w:rsid w:val="00876EC4"/>
    <w:rsid w:val="008837F6"/>
    <w:rsid w:val="008849C1"/>
    <w:rsid w:val="00884B65"/>
    <w:rsid w:val="0089522A"/>
    <w:rsid w:val="0089746C"/>
    <w:rsid w:val="00897E71"/>
    <w:rsid w:val="008A14A6"/>
    <w:rsid w:val="008A20F9"/>
    <w:rsid w:val="008A348A"/>
    <w:rsid w:val="008A414F"/>
    <w:rsid w:val="008A47AA"/>
    <w:rsid w:val="008A49B2"/>
    <w:rsid w:val="008A4BBF"/>
    <w:rsid w:val="008A4E1C"/>
    <w:rsid w:val="008A6E59"/>
    <w:rsid w:val="008A7558"/>
    <w:rsid w:val="008B16C2"/>
    <w:rsid w:val="008B3C5C"/>
    <w:rsid w:val="008B635E"/>
    <w:rsid w:val="008B7A12"/>
    <w:rsid w:val="008C195E"/>
    <w:rsid w:val="008C1E49"/>
    <w:rsid w:val="008C2EC9"/>
    <w:rsid w:val="008C455D"/>
    <w:rsid w:val="008C7060"/>
    <w:rsid w:val="008D1918"/>
    <w:rsid w:val="008D39A4"/>
    <w:rsid w:val="008D468C"/>
    <w:rsid w:val="008D4D07"/>
    <w:rsid w:val="008D55CB"/>
    <w:rsid w:val="008D5D14"/>
    <w:rsid w:val="008D7EDD"/>
    <w:rsid w:val="008E0231"/>
    <w:rsid w:val="008E2B24"/>
    <w:rsid w:val="008E3930"/>
    <w:rsid w:val="008E54BE"/>
    <w:rsid w:val="008E7702"/>
    <w:rsid w:val="008F08DF"/>
    <w:rsid w:val="008F0996"/>
    <w:rsid w:val="008F145D"/>
    <w:rsid w:val="008F1A75"/>
    <w:rsid w:val="008F2C02"/>
    <w:rsid w:val="008F4A69"/>
    <w:rsid w:val="008F6E3E"/>
    <w:rsid w:val="008F7B36"/>
    <w:rsid w:val="00900674"/>
    <w:rsid w:val="00901026"/>
    <w:rsid w:val="00902949"/>
    <w:rsid w:val="00905CFB"/>
    <w:rsid w:val="00907067"/>
    <w:rsid w:val="009104B0"/>
    <w:rsid w:val="00911DCD"/>
    <w:rsid w:val="00911E1A"/>
    <w:rsid w:val="009127A4"/>
    <w:rsid w:val="00913C51"/>
    <w:rsid w:val="00916C81"/>
    <w:rsid w:val="00916F4A"/>
    <w:rsid w:val="00917412"/>
    <w:rsid w:val="00920BBD"/>
    <w:rsid w:val="00924C76"/>
    <w:rsid w:val="00926DD3"/>
    <w:rsid w:val="00927FBA"/>
    <w:rsid w:val="00930133"/>
    <w:rsid w:val="009342CE"/>
    <w:rsid w:val="00941726"/>
    <w:rsid w:val="00943D07"/>
    <w:rsid w:val="0094647C"/>
    <w:rsid w:val="0094684C"/>
    <w:rsid w:val="00950A39"/>
    <w:rsid w:val="00950F2F"/>
    <w:rsid w:val="00952321"/>
    <w:rsid w:val="00954106"/>
    <w:rsid w:val="009606E1"/>
    <w:rsid w:val="00960962"/>
    <w:rsid w:val="00960B6C"/>
    <w:rsid w:val="00961579"/>
    <w:rsid w:val="009621E5"/>
    <w:rsid w:val="00963BAA"/>
    <w:rsid w:val="009645AC"/>
    <w:rsid w:val="00964740"/>
    <w:rsid w:val="00966D5E"/>
    <w:rsid w:val="00966E61"/>
    <w:rsid w:val="00971F70"/>
    <w:rsid w:val="00977BF6"/>
    <w:rsid w:val="009838DA"/>
    <w:rsid w:val="00985730"/>
    <w:rsid w:val="00987E44"/>
    <w:rsid w:val="0099007B"/>
    <w:rsid w:val="0099124C"/>
    <w:rsid w:val="009941F5"/>
    <w:rsid w:val="0099587B"/>
    <w:rsid w:val="00995A91"/>
    <w:rsid w:val="00997D18"/>
    <w:rsid w:val="009A0E67"/>
    <w:rsid w:val="009A1B55"/>
    <w:rsid w:val="009A27E1"/>
    <w:rsid w:val="009A3D2C"/>
    <w:rsid w:val="009A449A"/>
    <w:rsid w:val="009A48D1"/>
    <w:rsid w:val="009A611F"/>
    <w:rsid w:val="009A6BE4"/>
    <w:rsid w:val="009B0C74"/>
    <w:rsid w:val="009B15AA"/>
    <w:rsid w:val="009B1964"/>
    <w:rsid w:val="009B1A3F"/>
    <w:rsid w:val="009B5536"/>
    <w:rsid w:val="009B5F30"/>
    <w:rsid w:val="009B618F"/>
    <w:rsid w:val="009B70DF"/>
    <w:rsid w:val="009B7898"/>
    <w:rsid w:val="009B798E"/>
    <w:rsid w:val="009C147B"/>
    <w:rsid w:val="009C5A75"/>
    <w:rsid w:val="009D0AAE"/>
    <w:rsid w:val="009D318A"/>
    <w:rsid w:val="009D31FC"/>
    <w:rsid w:val="009D402D"/>
    <w:rsid w:val="009D7D5B"/>
    <w:rsid w:val="009E06C3"/>
    <w:rsid w:val="009E2A77"/>
    <w:rsid w:val="009E4301"/>
    <w:rsid w:val="009E5375"/>
    <w:rsid w:val="009E5AA6"/>
    <w:rsid w:val="009E7B7F"/>
    <w:rsid w:val="009F0777"/>
    <w:rsid w:val="009F0E30"/>
    <w:rsid w:val="009F322A"/>
    <w:rsid w:val="009F4287"/>
    <w:rsid w:val="009F4333"/>
    <w:rsid w:val="009F54AA"/>
    <w:rsid w:val="00A039A6"/>
    <w:rsid w:val="00A03C4D"/>
    <w:rsid w:val="00A05126"/>
    <w:rsid w:val="00A0646C"/>
    <w:rsid w:val="00A11265"/>
    <w:rsid w:val="00A11E0E"/>
    <w:rsid w:val="00A120B3"/>
    <w:rsid w:val="00A13770"/>
    <w:rsid w:val="00A1380E"/>
    <w:rsid w:val="00A13EC4"/>
    <w:rsid w:val="00A14599"/>
    <w:rsid w:val="00A149DE"/>
    <w:rsid w:val="00A1575F"/>
    <w:rsid w:val="00A169D0"/>
    <w:rsid w:val="00A22B6D"/>
    <w:rsid w:val="00A24837"/>
    <w:rsid w:val="00A2530A"/>
    <w:rsid w:val="00A25B54"/>
    <w:rsid w:val="00A26456"/>
    <w:rsid w:val="00A2686C"/>
    <w:rsid w:val="00A27B6B"/>
    <w:rsid w:val="00A360B3"/>
    <w:rsid w:val="00A36AD8"/>
    <w:rsid w:val="00A372A5"/>
    <w:rsid w:val="00A41005"/>
    <w:rsid w:val="00A411B8"/>
    <w:rsid w:val="00A41619"/>
    <w:rsid w:val="00A4241B"/>
    <w:rsid w:val="00A457FF"/>
    <w:rsid w:val="00A468D0"/>
    <w:rsid w:val="00A47359"/>
    <w:rsid w:val="00A47C23"/>
    <w:rsid w:val="00A53071"/>
    <w:rsid w:val="00A56E98"/>
    <w:rsid w:val="00A57235"/>
    <w:rsid w:val="00A62C42"/>
    <w:rsid w:val="00A64031"/>
    <w:rsid w:val="00A67830"/>
    <w:rsid w:val="00A70170"/>
    <w:rsid w:val="00A71823"/>
    <w:rsid w:val="00A7373E"/>
    <w:rsid w:val="00A742CA"/>
    <w:rsid w:val="00A74DA3"/>
    <w:rsid w:val="00A75923"/>
    <w:rsid w:val="00A766CE"/>
    <w:rsid w:val="00A767FA"/>
    <w:rsid w:val="00A76D98"/>
    <w:rsid w:val="00A80015"/>
    <w:rsid w:val="00A8233D"/>
    <w:rsid w:val="00A84B17"/>
    <w:rsid w:val="00A84B54"/>
    <w:rsid w:val="00A84C91"/>
    <w:rsid w:val="00A84E2B"/>
    <w:rsid w:val="00A864EB"/>
    <w:rsid w:val="00A86A53"/>
    <w:rsid w:val="00A86E6B"/>
    <w:rsid w:val="00A9076E"/>
    <w:rsid w:val="00A91477"/>
    <w:rsid w:val="00A9164F"/>
    <w:rsid w:val="00A92DBB"/>
    <w:rsid w:val="00A941E5"/>
    <w:rsid w:val="00A95469"/>
    <w:rsid w:val="00A9553C"/>
    <w:rsid w:val="00A9606B"/>
    <w:rsid w:val="00A96D82"/>
    <w:rsid w:val="00AA04BC"/>
    <w:rsid w:val="00AA42EC"/>
    <w:rsid w:val="00AA4885"/>
    <w:rsid w:val="00AA5AE0"/>
    <w:rsid w:val="00AA7B48"/>
    <w:rsid w:val="00AB04F3"/>
    <w:rsid w:val="00AB2744"/>
    <w:rsid w:val="00AB4E76"/>
    <w:rsid w:val="00AC2239"/>
    <w:rsid w:val="00AC23F8"/>
    <w:rsid w:val="00AC368B"/>
    <w:rsid w:val="00AC51D5"/>
    <w:rsid w:val="00AC6489"/>
    <w:rsid w:val="00AC6EF7"/>
    <w:rsid w:val="00AC74C8"/>
    <w:rsid w:val="00AC7504"/>
    <w:rsid w:val="00AD0EC8"/>
    <w:rsid w:val="00AD162F"/>
    <w:rsid w:val="00AD35A8"/>
    <w:rsid w:val="00AD371A"/>
    <w:rsid w:val="00AD3D4F"/>
    <w:rsid w:val="00AD5573"/>
    <w:rsid w:val="00AD56C9"/>
    <w:rsid w:val="00AE14A3"/>
    <w:rsid w:val="00AE18FE"/>
    <w:rsid w:val="00AE1AAB"/>
    <w:rsid w:val="00AE1FCE"/>
    <w:rsid w:val="00AE230D"/>
    <w:rsid w:val="00AE2D68"/>
    <w:rsid w:val="00AE318A"/>
    <w:rsid w:val="00AE394A"/>
    <w:rsid w:val="00AE451F"/>
    <w:rsid w:val="00AE5565"/>
    <w:rsid w:val="00AE71CD"/>
    <w:rsid w:val="00AE7F99"/>
    <w:rsid w:val="00AF00DE"/>
    <w:rsid w:val="00AF0E83"/>
    <w:rsid w:val="00AF10E0"/>
    <w:rsid w:val="00AF201A"/>
    <w:rsid w:val="00AF231C"/>
    <w:rsid w:val="00AF3DDF"/>
    <w:rsid w:val="00AF416D"/>
    <w:rsid w:val="00AF41DD"/>
    <w:rsid w:val="00AF4EFF"/>
    <w:rsid w:val="00B011E8"/>
    <w:rsid w:val="00B01A8F"/>
    <w:rsid w:val="00B01C5E"/>
    <w:rsid w:val="00B03469"/>
    <w:rsid w:val="00B03AC5"/>
    <w:rsid w:val="00B03BCE"/>
    <w:rsid w:val="00B05014"/>
    <w:rsid w:val="00B06079"/>
    <w:rsid w:val="00B06AC9"/>
    <w:rsid w:val="00B107AD"/>
    <w:rsid w:val="00B131A7"/>
    <w:rsid w:val="00B13AF2"/>
    <w:rsid w:val="00B13B27"/>
    <w:rsid w:val="00B20426"/>
    <w:rsid w:val="00B21AB4"/>
    <w:rsid w:val="00B21B1F"/>
    <w:rsid w:val="00B2280D"/>
    <w:rsid w:val="00B30BD3"/>
    <w:rsid w:val="00B30F12"/>
    <w:rsid w:val="00B31C6A"/>
    <w:rsid w:val="00B325D1"/>
    <w:rsid w:val="00B33A89"/>
    <w:rsid w:val="00B345B2"/>
    <w:rsid w:val="00B35FF0"/>
    <w:rsid w:val="00B368EC"/>
    <w:rsid w:val="00B36D81"/>
    <w:rsid w:val="00B37673"/>
    <w:rsid w:val="00B37855"/>
    <w:rsid w:val="00B37C41"/>
    <w:rsid w:val="00B406B0"/>
    <w:rsid w:val="00B44D96"/>
    <w:rsid w:val="00B45220"/>
    <w:rsid w:val="00B45FC0"/>
    <w:rsid w:val="00B472E4"/>
    <w:rsid w:val="00B5246B"/>
    <w:rsid w:val="00B53EC9"/>
    <w:rsid w:val="00B544F4"/>
    <w:rsid w:val="00B55125"/>
    <w:rsid w:val="00B5512A"/>
    <w:rsid w:val="00B55E15"/>
    <w:rsid w:val="00B56AC8"/>
    <w:rsid w:val="00B60290"/>
    <w:rsid w:val="00B621CB"/>
    <w:rsid w:val="00B63D49"/>
    <w:rsid w:val="00B661DB"/>
    <w:rsid w:val="00B70160"/>
    <w:rsid w:val="00B71867"/>
    <w:rsid w:val="00B727DC"/>
    <w:rsid w:val="00B7432C"/>
    <w:rsid w:val="00B75995"/>
    <w:rsid w:val="00B77622"/>
    <w:rsid w:val="00B778DB"/>
    <w:rsid w:val="00B77E48"/>
    <w:rsid w:val="00B81AD9"/>
    <w:rsid w:val="00B81D56"/>
    <w:rsid w:val="00B83D00"/>
    <w:rsid w:val="00B86CEA"/>
    <w:rsid w:val="00B903DB"/>
    <w:rsid w:val="00B91C9B"/>
    <w:rsid w:val="00B920DA"/>
    <w:rsid w:val="00B941B5"/>
    <w:rsid w:val="00B956BD"/>
    <w:rsid w:val="00B97B8F"/>
    <w:rsid w:val="00BA0F47"/>
    <w:rsid w:val="00BA1A70"/>
    <w:rsid w:val="00BA2B2F"/>
    <w:rsid w:val="00BA568D"/>
    <w:rsid w:val="00BA6848"/>
    <w:rsid w:val="00BA735D"/>
    <w:rsid w:val="00BB2ADD"/>
    <w:rsid w:val="00BB4FCD"/>
    <w:rsid w:val="00BC0ED1"/>
    <w:rsid w:val="00BC23B2"/>
    <w:rsid w:val="00BC48E4"/>
    <w:rsid w:val="00BC5A32"/>
    <w:rsid w:val="00BC5D21"/>
    <w:rsid w:val="00BC7BAF"/>
    <w:rsid w:val="00BD0BEE"/>
    <w:rsid w:val="00BD1E15"/>
    <w:rsid w:val="00BD407C"/>
    <w:rsid w:val="00BD58DA"/>
    <w:rsid w:val="00BE1FCB"/>
    <w:rsid w:val="00BE360D"/>
    <w:rsid w:val="00BE3F91"/>
    <w:rsid w:val="00BE4501"/>
    <w:rsid w:val="00BE50CC"/>
    <w:rsid w:val="00BE65A6"/>
    <w:rsid w:val="00BE728F"/>
    <w:rsid w:val="00BF0D1A"/>
    <w:rsid w:val="00BF22A5"/>
    <w:rsid w:val="00BF34F9"/>
    <w:rsid w:val="00BF6562"/>
    <w:rsid w:val="00BF7E60"/>
    <w:rsid w:val="00C004A7"/>
    <w:rsid w:val="00C0319A"/>
    <w:rsid w:val="00C03635"/>
    <w:rsid w:val="00C055C4"/>
    <w:rsid w:val="00C07F3E"/>
    <w:rsid w:val="00C104B0"/>
    <w:rsid w:val="00C11E6C"/>
    <w:rsid w:val="00C12246"/>
    <w:rsid w:val="00C14A81"/>
    <w:rsid w:val="00C1701B"/>
    <w:rsid w:val="00C217B6"/>
    <w:rsid w:val="00C218E9"/>
    <w:rsid w:val="00C22137"/>
    <w:rsid w:val="00C22778"/>
    <w:rsid w:val="00C23510"/>
    <w:rsid w:val="00C23CEE"/>
    <w:rsid w:val="00C25F31"/>
    <w:rsid w:val="00C26C06"/>
    <w:rsid w:val="00C27DA0"/>
    <w:rsid w:val="00C303C5"/>
    <w:rsid w:val="00C32992"/>
    <w:rsid w:val="00C33AC1"/>
    <w:rsid w:val="00C340F0"/>
    <w:rsid w:val="00C34E53"/>
    <w:rsid w:val="00C407A1"/>
    <w:rsid w:val="00C40CBA"/>
    <w:rsid w:val="00C43B3F"/>
    <w:rsid w:val="00C44F69"/>
    <w:rsid w:val="00C4760A"/>
    <w:rsid w:val="00C47FB4"/>
    <w:rsid w:val="00C50796"/>
    <w:rsid w:val="00C50A1A"/>
    <w:rsid w:val="00C50E3D"/>
    <w:rsid w:val="00C5134E"/>
    <w:rsid w:val="00C5161A"/>
    <w:rsid w:val="00C519F9"/>
    <w:rsid w:val="00C52AA0"/>
    <w:rsid w:val="00C5370B"/>
    <w:rsid w:val="00C544D3"/>
    <w:rsid w:val="00C569F6"/>
    <w:rsid w:val="00C57812"/>
    <w:rsid w:val="00C65C7B"/>
    <w:rsid w:val="00C66F45"/>
    <w:rsid w:val="00C70027"/>
    <w:rsid w:val="00C72F6D"/>
    <w:rsid w:val="00C74075"/>
    <w:rsid w:val="00C74761"/>
    <w:rsid w:val="00C74B2F"/>
    <w:rsid w:val="00C74C5A"/>
    <w:rsid w:val="00C74F25"/>
    <w:rsid w:val="00C75317"/>
    <w:rsid w:val="00C75847"/>
    <w:rsid w:val="00C75B9B"/>
    <w:rsid w:val="00C7785E"/>
    <w:rsid w:val="00C81235"/>
    <w:rsid w:val="00C8136D"/>
    <w:rsid w:val="00C82612"/>
    <w:rsid w:val="00C867E7"/>
    <w:rsid w:val="00C86FAA"/>
    <w:rsid w:val="00C90A7D"/>
    <w:rsid w:val="00C911A8"/>
    <w:rsid w:val="00C91400"/>
    <w:rsid w:val="00C915C3"/>
    <w:rsid w:val="00C9455E"/>
    <w:rsid w:val="00C945AB"/>
    <w:rsid w:val="00C958D5"/>
    <w:rsid w:val="00C960F6"/>
    <w:rsid w:val="00C97C04"/>
    <w:rsid w:val="00CA07FE"/>
    <w:rsid w:val="00CA17B6"/>
    <w:rsid w:val="00CA42BD"/>
    <w:rsid w:val="00CA43ED"/>
    <w:rsid w:val="00CA4923"/>
    <w:rsid w:val="00CA4B93"/>
    <w:rsid w:val="00CB01A9"/>
    <w:rsid w:val="00CB0D70"/>
    <w:rsid w:val="00CB1866"/>
    <w:rsid w:val="00CB1CAE"/>
    <w:rsid w:val="00CB5B03"/>
    <w:rsid w:val="00CB7DE1"/>
    <w:rsid w:val="00CC07A4"/>
    <w:rsid w:val="00CC2ABE"/>
    <w:rsid w:val="00CC3EF4"/>
    <w:rsid w:val="00CC42CC"/>
    <w:rsid w:val="00CC453C"/>
    <w:rsid w:val="00CC4572"/>
    <w:rsid w:val="00CC5858"/>
    <w:rsid w:val="00CC5D43"/>
    <w:rsid w:val="00CD035E"/>
    <w:rsid w:val="00CD1BDA"/>
    <w:rsid w:val="00CD2C02"/>
    <w:rsid w:val="00CD2D8D"/>
    <w:rsid w:val="00CD2DCC"/>
    <w:rsid w:val="00CD4631"/>
    <w:rsid w:val="00CD5A3D"/>
    <w:rsid w:val="00CD5AF8"/>
    <w:rsid w:val="00CD6D8E"/>
    <w:rsid w:val="00CD7902"/>
    <w:rsid w:val="00CE2D84"/>
    <w:rsid w:val="00CE4410"/>
    <w:rsid w:val="00CE48C0"/>
    <w:rsid w:val="00CE4942"/>
    <w:rsid w:val="00CE4C62"/>
    <w:rsid w:val="00CE4CB2"/>
    <w:rsid w:val="00CE6C7B"/>
    <w:rsid w:val="00CE76CC"/>
    <w:rsid w:val="00CF10B6"/>
    <w:rsid w:val="00CF1B60"/>
    <w:rsid w:val="00CF29B9"/>
    <w:rsid w:val="00CF4080"/>
    <w:rsid w:val="00CF4524"/>
    <w:rsid w:val="00CF5552"/>
    <w:rsid w:val="00D00D8E"/>
    <w:rsid w:val="00D00E94"/>
    <w:rsid w:val="00D013D6"/>
    <w:rsid w:val="00D0612C"/>
    <w:rsid w:val="00D10606"/>
    <w:rsid w:val="00D10AE8"/>
    <w:rsid w:val="00D10CE6"/>
    <w:rsid w:val="00D1129F"/>
    <w:rsid w:val="00D12077"/>
    <w:rsid w:val="00D12C52"/>
    <w:rsid w:val="00D133A0"/>
    <w:rsid w:val="00D13753"/>
    <w:rsid w:val="00D142CE"/>
    <w:rsid w:val="00D16976"/>
    <w:rsid w:val="00D21D14"/>
    <w:rsid w:val="00D23B55"/>
    <w:rsid w:val="00D31156"/>
    <w:rsid w:val="00D3295F"/>
    <w:rsid w:val="00D32A1C"/>
    <w:rsid w:val="00D33D07"/>
    <w:rsid w:val="00D4061D"/>
    <w:rsid w:val="00D41599"/>
    <w:rsid w:val="00D4216C"/>
    <w:rsid w:val="00D421FF"/>
    <w:rsid w:val="00D4487F"/>
    <w:rsid w:val="00D4511F"/>
    <w:rsid w:val="00D51CEB"/>
    <w:rsid w:val="00D52228"/>
    <w:rsid w:val="00D52922"/>
    <w:rsid w:val="00D53894"/>
    <w:rsid w:val="00D55272"/>
    <w:rsid w:val="00D55286"/>
    <w:rsid w:val="00D55A08"/>
    <w:rsid w:val="00D561C6"/>
    <w:rsid w:val="00D56BEA"/>
    <w:rsid w:val="00D60723"/>
    <w:rsid w:val="00D608AF"/>
    <w:rsid w:val="00D64CAD"/>
    <w:rsid w:val="00D66067"/>
    <w:rsid w:val="00D67523"/>
    <w:rsid w:val="00D67676"/>
    <w:rsid w:val="00D7102C"/>
    <w:rsid w:val="00D728FB"/>
    <w:rsid w:val="00D74FAA"/>
    <w:rsid w:val="00D75476"/>
    <w:rsid w:val="00D7641D"/>
    <w:rsid w:val="00D83E3F"/>
    <w:rsid w:val="00D84F34"/>
    <w:rsid w:val="00D86908"/>
    <w:rsid w:val="00D86BB2"/>
    <w:rsid w:val="00D87208"/>
    <w:rsid w:val="00D92FEE"/>
    <w:rsid w:val="00D9427B"/>
    <w:rsid w:val="00D94CD3"/>
    <w:rsid w:val="00D9524F"/>
    <w:rsid w:val="00DA061B"/>
    <w:rsid w:val="00DA0907"/>
    <w:rsid w:val="00DA0A54"/>
    <w:rsid w:val="00DA0B93"/>
    <w:rsid w:val="00DA12B1"/>
    <w:rsid w:val="00DA4962"/>
    <w:rsid w:val="00DA561F"/>
    <w:rsid w:val="00DA66C6"/>
    <w:rsid w:val="00DB0838"/>
    <w:rsid w:val="00DB1BDC"/>
    <w:rsid w:val="00DB3932"/>
    <w:rsid w:val="00DB39C5"/>
    <w:rsid w:val="00DB512A"/>
    <w:rsid w:val="00DB5A81"/>
    <w:rsid w:val="00DB725A"/>
    <w:rsid w:val="00DC03BD"/>
    <w:rsid w:val="00DC060A"/>
    <w:rsid w:val="00DC106D"/>
    <w:rsid w:val="00DC1497"/>
    <w:rsid w:val="00DC221F"/>
    <w:rsid w:val="00DC2C3B"/>
    <w:rsid w:val="00DC4A77"/>
    <w:rsid w:val="00DC504A"/>
    <w:rsid w:val="00DC594F"/>
    <w:rsid w:val="00DC6C9A"/>
    <w:rsid w:val="00DC777B"/>
    <w:rsid w:val="00DD1338"/>
    <w:rsid w:val="00DD1718"/>
    <w:rsid w:val="00DD269B"/>
    <w:rsid w:val="00DD2AFE"/>
    <w:rsid w:val="00DD332C"/>
    <w:rsid w:val="00DD5CF4"/>
    <w:rsid w:val="00DD7986"/>
    <w:rsid w:val="00DE072C"/>
    <w:rsid w:val="00DE29DE"/>
    <w:rsid w:val="00DE5022"/>
    <w:rsid w:val="00DE581D"/>
    <w:rsid w:val="00DE5D69"/>
    <w:rsid w:val="00DF12C1"/>
    <w:rsid w:val="00DF1741"/>
    <w:rsid w:val="00DF2521"/>
    <w:rsid w:val="00DF5554"/>
    <w:rsid w:val="00DF55C5"/>
    <w:rsid w:val="00DF570B"/>
    <w:rsid w:val="00DF58E9"/>
    <w:rsid w:val="00DF59AD"/>
    <w:rsid w:val="00DF5F55"/>
    <w:rsid w:val="00DF6CD1"/>
    <w:rsid w:val="00E006BC"/>
    <w:rsid w:val="00E00761"/>
    <w:rsid w:val="00E038E7"/>
    <w:rsid w:val="00E060F8"/>
    <w:rsid w:val="00E0619A"/>
    <w:rsid w:val="00E06C0C"/>
    <w:rsid w:val="00E112A1"/>
    <w:rsid w:val="00E119C1"/>
    <w:rsid w:val="00E13C9E"/>
    <w:rsid w:val="00E13DEB"/>
    <w:rsid w:val="00E14316"/>
    <w:rsid w:val="00E14DB5"/>
    <w:rsid w:val="00E15EF3"/>
    <w:rsid w:val="00E1677D"/>
    <w:rsid w:val="00E17350"/>
    <w:rsid w:val="00E173A2"/>
    <w:rsid w:val="00E22AAA"/>
    <w:rsid w:val="00E238BE"/>
    <w:rsid w:val="00E2565B"/>
    <w:rsid w:val="00E27720"/>
    <w:rsid w:val="00E32C8E"/>
    <w:rsid w:val="00E34248"/>
    <w:rsid w:val="00E3541F"/>
    <w:rsid w:val="00E364B1"/>
    <w:rsid w:val="00E36D52"/>
    <w:rsid w:val="00E408A4"/>
    <w:rsid w:val="00E419CE"/>
    <w:rsid w:val="00E4343C"/>
    <w:rsid w:val="00E45563"/>
    <w:rsid w:val="00E45C66"/>
    <w:rsid w:val="00E515C6"/>
    <w:rsid w:val="00E51CCE"/>
    <w:rsid w:val="00E534DB"/>
    <w:rsid w:val="00E53591"/>
    <w:rsid w:val="00E53DC9"/>
    <w:rsid w:val="00E553F6"/>
    <w:rsid w:val="00E55C41"/>
    <w:rsid w:val="00E561DD"/>
    <w:rsid w:val="00E56EA8"/>
    <w:rsid w:val="00E60D39"/>
    <w:rsid w:val="00E62161"/>
    <w:rsid w:val="00E62CD0"/>
    <w:rsid w:val="00E62E72"/>
    <w:rsid w:val="00E6595E"/>
    <w:rsid w:val="00E665AD"/>
    <w:rsid w:val="00E67388"/>
    <w:rsid w:val="00E67E75"/>
    <w:rsid w:val="00E7053F"/>
    <w:rsid w:val="00E71792"/>
    <w:rsid w:val="00E720E0"/>
    <w:rsid w:val="00E72DE3"/>
    <w:rsid w:val="00E74596"/>
    <w:rsid w:val="00E7730F"/>
    <w:rsid w:val="00E80147"/>
    <w:rsid w:val="00E80BAF"/>
    <w:rsid w:val="00E80E12"/>
    <w:rsid w:val="00E82551"/>
    <w:rsid w:val="00E8296F"/>
    <w:rsid w:val="00E82A2E"/>
    <w:rsid w:val="00E8353D"/>
    <w:rsid w:val="00E8473B"/>
    <w:rsid w:val="00E85EF1"/>
    <w:rsid w:val="00E86EEE"/>
    <w:rsid w:val="00E86FBF"/>
    <w:rsid w:val="00E87CA6"/>
    <w:rsid w:val="00E91797"/>
    <w:rsid w:val="00E94B4B"/>
    <w:rsid w:val="00E95033"/>
    <w:rsid w:val="00E954D4"/>
    <w:rsid w:val="00E9642D"/>
    <w:rsid w:val="00E964C0"/>
    <w:rsid w:val="00E96CC1"/>
    <w:rsid w:val="00E97AE6"/>
    <w:rsid w:val="00EA1BDA"/>
    <w:rsid w:val="00EA2B3F"/>
    <w:rsid w:val="00EA2C64"/>
    <w:rsid w:val="00EA3624"/>
    <w:rsid w:val="00EA4215"/>
    <w:rsid w:val="00EA538B"/>
    <w:rsid w:val="00EB1563"/>
    <w:rsid w:val="00EB2421"/>
    <w:rsid w:val="00EB2B21"/>
    <w:rsid w:val="00EB3E66"/>
    <w:rsid w:val="00EB4434"/>
    <w:rsid w:val="00EB4E6D"/>
    <w:rsid w:val="00EB542C"/>
    <w:rsid w:val="00EB62E1"/>
    <w:rsid w:val="00EB65E6"/>
    <w:rsid w:val="00EB6FF0"/>
    <w:rsid w:val="00EC0002"/>
    <w:rsid w:val="00EC0BEC"/>
    <w:rsid w:val="00EC33CB"/>
    <w:rsid w:val="00EC49A4"/>
    <w:rsid w:val="00EC5714"/>
    <w:rsid w:val="00EC6347"/>
    <w:rsid w:val="00EC6B71"/>
    <w:rsid w:val="00EC7E5A"/>
    <w:rsid w:val="00ED71D2"/>
    <w:rsid w:val="00EE21C0"/>
    <w:rsid w:val="00EE330D"/>
    <w:rsid w:val="00EE4ED2"/>
    <w:rsid w:val="00EE61D7"/>
    <w:rsid w:val="00EE6419"/>
    <w:rsid w:val="00EE6D55"/>
    <w:rsid w:val="00EE7286"/>
    <w:rsid w:val="00EF166D"/>
    <w:rsid w:val="00F01259"/>
    <w:rsid w:val="00F037B4"/>
    <w:rsid w:val="00F054BE"/>
    <w:rsid w:val="00F069C1"/>
    <w:rsid w:val="00F07A11"/>
    <w:rsid w:val="00F07A4F"/>
    <w:rsid w:val="00F07A7E"/>
    <w:rsid w:val="00F07ED3"/>
    <w:rsid w:val="00F10687"/>
    <w:rsid w:val="00F10CD5"/>
    <w:rsid w:val="00F11F19"/>
    <w:rsid w:val="00F122A6"/>
    <w:rsid w:val="00F12FB4"/>
    <w:rsid w:val="00F1425A"/>
    <w:rsid w:val="00F1579A"/>
    <w:rsid w:val="00F15D8D"/>
    <w:rsid w:val="00F1704B"/>
    <w:rsid w:val="00F22412"/>
    <w:rsid w:val="00F228F6"/>
    <w:rsid w:val="00F22FE2"/>
    <w:rsid w:val="00F25B63"/>
    <w:rsid w:val="00F25C2F"/>
    <w:rsid w:val="00F27FD0"/>
    <w:rsid w:val="00F3115A"/>
    <w:rsid w:val="00F32053"/>
    <w:rsid w:val="00F320D7"/>
    <w:rsid w:val="00F349E0"/>
    <w:rsid w:val="00F34BC6"/>
    <w:rsid w:val="00F350C4"/>
    <w:rsid w:val="00F36DA0"/>
    <w:rsid w:val="00F3735C"/>
    <w:rsid w:val="00F420A5"/>
    <w:rsid w:val="00F42733"/>
    <w:rsid w:val="00F45F78"/>
    <w:rsid w:val="00F46701"/>
    <w:rsid w:val="00F476DE"/>
    <w:rsid w:val="00F52436"/>
    <w:rsid w:val="00F52507"/>
    <w:rsid w:val="00F53CE8"/>
    <w:rsid w:val="00F544B9"/>
    <w:rsid w:val="00F54630"/>
    <w:rsid w:val="00F54A4F"/>
    <w:rsid w:val="00F54EC2"/>
    <w:rsid w:val="00F55130"/>
    <w:rsid w:val="00F55735"/>
    <w:rsid w:val="00F55CE7"/>
    <w:rsid w:val="00F56181"/>
    <w:rsid w:val="00F56F49"/>
    <w:rsid w:val="00F57E86"/>
    <w:rsid w:val="00F6099E"/>
    <w:rsid w:val="00F6692D"/>
    <w:rsid w:val="00F67B27"/>
    <w:rsid w:val="00F7357F"/>
    <w:rsid w:val="00F756FE"/>
    <w:rsid w:val="00F75EC7"/>
    <w:rsid w:val="00F76276"/>
    <w:rsid w:val="00F82D75"/>
    <w:rsid w:val="00F85333"/>
    <w:rsid w:val="00F86235"/>
    <w:rsid w:val="00F866CB"/>
    <w:rsid w:val="00F91BD5"/>
    <w:rsid w:val="00F9740B"/>
    <w:rsid w:val="00F9766C"/>
    <w:rsid w:val="00FA0779"/>
    <w:rsid w:val="00FA2204"/>
    <w:rsid w:val="00FB11C4"/>
    <w:rsid w:val="00FB2713"/>
    <w:rsid w:val="00FB430F"/>
    <w:rsid w:val="00FB4572"/>
    <w:rsid w:val="00FB4617"/>
    <w:rsid w:val="00FB57D0"/>
    <w:rsid w:val="00FB64C4"/>
    <w:rsid w:val="00FB6E2C"/>
    <w:rsid w:val="00FC0CD5"/>
    <w:rsid w:val="00FC57C3"/>
    <w:rsid w:val="00FD05E9"/>
    <w:rsid w:val="00FD1397"/>
    <w:rsid w:val="00FD1AC6"/>
    <w:rsid w:val="00FD22AF"/>
    <w:rsid w:val="00FD50CB"/>
    <w:rsid w:val="00FE19C0"/>
    <w:rsid w:val="00FE24F8"/>
    <w:rsid w:val="00FE45F0"/>
    <w:rsid w:val="00FE4F4E"/>
    <w:rsid w:val="00FE6AA4"/>
    <w:rsid w:val="00FE715C"/>
    <w:rsid w:val="00FE732F"/>
    <w:rsid w:val="00FF0734"/>
    <w:rsid w:val="00FF2A8F"/>
    <w:rsid w:val="00FF3610"/>
    <w:rsid w:val="00FF4F5E"/>
    <w:rsid w:val="00FF7A1C"/>
    <w:rsid w:val="01287E96"/>
    <w:rsid w:val="014B388C"/>
    <w:rsid w:val="01ED30A2"/>
    <w:rsid w:val="02B75CB0"/>
    <w:rsid w:val="02B81E96"/>
    <w:rsid w:val="02E87EA9"/>
    <w:rsid w:val="033F78F4"/>
    <w:rsid w:val="040A0324"/>
    <w:rsid w:val="04D0395F"/>
    <w:rsid w:val="04EA4419"/>
    <w:rsid w:val="04F656F1"/>
    <w:rsid w:val="05BF25A2"/>
    <w:rsid w:val="05C47423"/>
    <w:rsid w:val="05D31ECF"/>
    <w:rsid w:val="05E32ECA"/>
    <w:rsid w:val="069D789F"/>
    <w:rsid w:val="06A66D68"/>
    <w:rsid w:val="06BF32B9"/>
    <w:rsid w:val="07310F70"/>
    <w:rsid w:val="075C0282"/>
    <w:rsid w:val="07704F0E"/>
    <w:rsid w:val="07BD2C31"/>
    <w:rsid w:val="08123458"/>
    <w:rsid w:val="08247F94"/>
    <w:rsid w:val="086016B9"/>
    <w:rsid w:val="088474BC"/>
    <w:rsid w:val="08D507DA"/>
    <w:rsid w:val="092E7FA3"/>
    <w:rsid w:val="09EC53F6"/>
    <w:rsid w:val="09ED7E5E"/>
    <w:rsid w:val="0A716019"/>
    <w:rsid w:val="0B3B08CF"/>
    <w:rsid w:val="0B951BB9"/>
    <w:rsid w:val="0BE13DB5"/>
    <w:rsid w:val="0C300B41"/>
    <w:rsid w:val="0C463DC7"/>
    <w:rsid w:val="0C47701F"/>
    <w:rsid w:val="0CA61269"/>
    <w:rsid w:val="0DAD65BD"/>
    <w:rsid w:val="0E026DBB"/>
    <w:rsid w:val="0E45017D"/>
    <w:rsid w:val="0EA264F5"/>
    <w:rsid w:val="0F3F34AA"/>
    <w:rsid w:val="0F8C7E36"/>
    <w:rsid w:val="10AB1975"/>
    <w:rsid w:val="10F52D33"/>
    <w:rsid w:val="11A81559"/>
    <w:rsid w:val="120E2B03"/>
    <w:rsid w:val="124D2211"/>
    <w:rsid w:val="12771C91"/>
    <w:rsid w:val="12871E7E"/>
    <w:rsid w:val="128B3794"/>
    <w:rsid w:val="128C1EAE"/>
    <w:rsid w:val="12B74186"/>
    <w:rsid w:val="133E7A1D"/>
    <w:rsid w:val="138A58A6"/>
    <w:rsid w:val="13B51F09"/>
    <w:rsid w:val="13BF7F75"/>
    <w:rsid w:val="140B4253"/>
    <w:rsid w:val="14B0635F"/>
    <w:rsid w:val="14E44BA0"/>
    <w:rsid w:val="161A2BC6"/>
    <w:rsid w:val="1662337C"/>
    <w:rsid w:val="16E94206"/>
    <w:rsid w:val="17B54D6B"/>
    <w:rsid w:val="18451384"/>
    <w:rsid w:val="18AC094E"/>
    <w:rsid w:val="19150CFF"/>
    <w:rsid w:val="19331C80"/>
    <w:rsid w:val="1A59743D"/>
    <w:rsid w:val="1AB71D98"/>
    <w:rsid w:val="1C816270"/>
    <w:rsid w:val="1C8A7B1C"/>
    <w:rsid w:val="1C915ACC"/>
    <w:rsid w:val="1CB948B8"/>
    <w:rsid w:val="1CB94F6E"/>
    <w:rsid w:val="1D301A23"/>
    <w:rsid w:val="1D516571"/>
    <w:rsid w:val="1E3A365E"/>
    <w:rsid w:val="1E452198"/>
    <w:rsid w:val="1E4F651E"/>
    <w:rsid w:val="1E962B13"/>
    <w:rsid w:val="20545DF4"/>
    <w:rsid w:val="20813206"/>
    <w:rsid w:val="21076F08"/>
    <w:rsid w:val="210C7EE5"/>
    <w:rsid w:val="21CF63BB"/>
    <w:rsid w:val="22211BC1"/>
    <w:rsid w:val="23D924DE"/>
    <w:rsid w:val="23F63758"/>
    <w:rsid w:val="24032071"/>
    <w:rsid w:val="25606E91"/>
    <w:rsid w:val="262A0088"/>
    <w:rsid w:val="265D0BBA"/>
    <w:rsid w:val="2661356E"/>
    <w:rsid w:val="266B560E"/>
    <w:rsid w:val="279D6285"/>
    <w:rsid w:val="28303DE0"/>
    <w:rsid w:val="28670D60"/>
    <w:rsid w:val="28696E72"/>
    <w:rsid w:val="288D7E9A"/>
    <w:rsid w:val="28962715"/>
    <w:rsid w:val="29562C6C"/>
    <w:rsid w:val="29572395"/>
    <w:rsid w:val="29903567"/>
    <w:rsid w:val="299147DA"/>
    <w:rsid w:val="29DD2D0B"/>
    <w:rsid w:val="29E147E8"/>
    <w:rsid w:val="2A3A44D5"/>
    <w:rsid w:val="2A497822"/>
    <w:rsid w:val="2AAA302E"/>
    <w:rsid w:val="2AED3952"/>
    <w:rsid w:val="2B3B041E"/>
    <w:rsid w:val="2C3F5D7A"/>
    <w:rsid w:val="2C4B6256"/>
    <w:rsid w:val="2C993585"/>
    <w:rsid w:val="2CDF6947"/>
    <w:rsid w:val="2D6A6C9C"/>
    <w:rsid w:val="2FD56130"/>
    <w:rsid w:val="30166FB5"/>
    <w:rsid w:val="30181E59"/>
    <w:rsid w:val="306E70CD"/>
    <w:rsid w:val="307D23BE"/>
    <w:rsid w:val="30885F0D"/>
    <w:rsid w:val="30F20E4D"/>
    <w:rsid w:val="32573B8F"/>
    <w:rsid w:val="33252BF8"/>
    <w:rsid w:val="33272207"/>
    <w:rsid w:val="33434617"/>
    <w:rsid w:val="336835FE"/>
    <w:rsid w:val="338A736F"/>
    <w:rsid w:val="33A934C8"/>
    <w:rsid w:val="33AB24B6"/>
    <w:rsid w:val="348E5560"/>
    <w:rsid w:val="350A5279"/>
    <w:rsid w:val="35267BA1"/>
    <w:rsid w:val="353010E0"/>
    <w:rsid w:val="35B879C4"/>
    <w:rsid w:val="35C070FC"/>
    <w:rsid w:val="35E87BF9"/>
    <w:rsid w:val="3612541A"/>
    <w:rsid w:val="362C46A4"/>
    <w:rsid w:val="36563459"/>
    <w:rsid w:val="36623AB5"/>
    <w:rsid w:val="370A394D"/>
    <w:rsid w:val="38726E69"/>
    <w:rsid w:val="39095421"/>
    <w:rsid w:val="3B39146F"/>
    <w:rsid w:val="3B946069"/>
    <w:rsid w:val="3C4300FE"/>
    <w:rsid w:val="3CEF5AD2"/>
    <w:rsid w:val="3D11368C"/>
    <w:rsid w:val="3D4A0404"/>
    <w:rsid w:val="3D814988"/>
    <w:rsid w:val="3EDB4924"/>
    <w:rsid w:val="40151D0B"/>
    <w:rsid w:val="416E1FA5"/>
    <w:rsid w:val="41B03F08"/>
    <w:rsid w:val="420A2F0B"/>
    <w:rsid w:val="42997A5C"/>
    <w:rsid w:val="42A83415"/>
    <w:rsid w:val="43250458"/>
    <w:rsid w:val="433A061D"/>
    <w:rsid w:val="43B33FD6"/>
    <w:rsid w:val="43BE68DE"/>
    <w:rsid w:val="447F2425"/>
    <w:rsid w:val="45740620"/>
    <w:rsid w:val="457976E9"/>
    <w:rsid w:val="45BE0741"/>
    <w:rsid w:val="46171242"/>
    <w:rsid w:val="463F6529"/>
    <w:rsid w:val="46BA6847"/>
    <w:rsid w:val="47EC2613"/>
    <w:rsid w:val="48E11C4A"/>
    <w:rsid w:val="490905AA"/>
    <w:rsid w:val="49B3540E"/>
    <w:rsid w:val="49B372ED"/>
    <w:rsid w:val="49F11494"/>
    <w:rsid w:val="4B2338D5"/>
    <w:rsid w:val="4B411B87"/>
    <w:rsid w:val="4BB31BF2"/>
    <w:rsid w:val="4C3E32F2"/>
    <w:rsid w:val="4C5A777E"/>
    <w:rsid w:val="4C7310FC"/>
    <w:rsid w:val="4CD12395"/>
    <w:rsid w:val="4D0B7929"/>
    <w:rsid w:val="4E777FB7"/>
    <w:rsid w:val="4ED66CE2"/>
    <w:rsid w:val="4FFA54A8"/>
    <w:rsid w:val="503F124D"/>
    <w:rsid w:val="51183B3C"/>
    <w:rsid w:val="51AB3FC3"/>
    <w:rsid w:val="51FE2B72"/>
    <w:rsid w:val="5223700C"/>
    <w:rsid w:val="52256B1C"/>
    <w:rsid w:val="531F5540"/>
    <w:rsid w:val="53346CAD"/>
    <w:rsid w:val="53711099"/>
    <w:rsid w:val="550F1633"/>
    <w:rsid w:val="55697347"/>
    <w:rsid w:val="55A47E2A"/>
    <w:rsid w:val="55E357A3"/>
    <w:rsid w:val="55E91915"/>
    <w:rsid w:val="56055BD9"/>
    <w:rsid w:val="57A64B7E"/>
    <w:rsid w:val="57B17810"/>
    <w:rsid w:val="58697834"/>
    <w:rsid w:val="587B22DC"/>
    <w:rsid w:val="587B2335"/>
    <w:rsid w:val="58C6766B"/>
    <w:rsid w:val="58EC1221"/>
    <w:rsid w:val="58F901DA"/>
    <w:rsid w:val="59A71352"/>
    <w:rsid w:val="5A1310F9"/>
    <w:rsid w:val="5A321817"/>
    <w:rsid w:val="5A370795"/>
    <w:rsid w:val="5AA13DA7"/>
    <w:rsid w:val="5AB22CB3"/>
    <w:rsid w:val="5AB32677"/>
    <w:rsid w:val="5AE749F3"/>
    <w:rsid w:val="5AEF3456"/>
    <w:rsid w:val="5B392C6C"/>
    <w:rsid w:val="5B9E6F90"/>
    <w:rsid w:val="5BF73025"/>
    <w:rsid w:val="5C4447DB"/>
    <w:rsid w:val="5CC42464"/>
    <w:rsid w:val="5D5E75CC"/>
    <w:rsid w:val="5E310B78"/>
    <w:rsid w:val="5FEE1368"/>
    <w:rsid w:val="60575DA6"/>
    <w:rsid w:val="60D61A2A"/>
    <w:rsid w:val="611864DE"/>
    <w:rsid w:val="613A4315"/>
    <w:rsid w:val="619A7DEF"/>
    <w:rsid w:val="628F2E19"/>
    <w:rsid w:val="62BC7439"/>
    <w:rsid w:val="62F30D07"/>
    <w:rsid w:val="62FC6007"/>
    <w:rsid w:val="63124866"/>
    <w:rsid w:val="635449BB"/>
    <w:rsid w:val="638D0AB3"/>
    <w:rsid w:val="63B86C76"/>
    <w:rsid w:val="64557E8E"/>
    <w:rsid w:val="6459147D"/>
    <w:rsid w:val="6499418C"/>
    <w:rsid w:val="65587B65"/>
    <w:rsid w:val="66531056"/>
    <w:rsid w:val="669312EE"/>
    <w:rsid w:val="66943117"/>
    <w:rsid w:val="66AA1C94"/>
    <w:rsid w:val="66E72299"/>
    <w:rsid w:val="682739F9"/>
    <w:rsid w:val="694E1CFF"/>
    <w:rsid w:val="697F6EA5"/>
    <w:rsid w:val="69C263C8"/>
    <w:rsid w:val="6A654FC6"/>
    <w:rsid w:val="6A705C68"/>
    <w:rsid w:val="6A773FC1"/>
    <w:rsid w:val="6A8D4A62"/>
    <w:rsid w:val="6AA21070"/>
    <w:rsid w:val="6AA366D3"/>
    <w:rsid w:val="6B1C2029"/>
    <w:rsid w:val="6B31358D"/>
    <w:rsid w:val="6B3B29A4"/>
    <w:rsid w:val="6B5D4307"/>
    <w:rsid w:val="6BA449A8"/>
    <w:rsid w:val="6D50391B"/>
    <w:rsid w:val="6D7919E7"/>
    <w:rsid w:val="6DC600C5"/>
    <w:rsid w:val="6EF27B42"/>
    <w:rsid w:val="6F3E063E"/>
    <w:rsid w:val="70352416"/>
    <w:rsid w:val="708039F4"/>
    <w:rsid w:val="709658D6"/>
    <w:rsid w:val="70D51838"/>
    <w:rsid w:val="714F15B5"/>
    <w:rsid w:val="71951B76"/>
    <w:rsid w:val="71F94599"/>
    <w:rsid w:val="72087C54"/>
    <w:rsid w:val="720F2D8A"/>
    <w:rsid w:val="721C174B"/>
    <w:rsid w:val="72A342F6"/>
    <w:rsid w:val="72AB1AC2"/>
    <w:rsid w:val="73A75621"/>
    <w:rsid w:val="74027D26"/>
    <w:rsid w:val="741C1311"/>
    <w:rsid w:val="74473A76"/>
    <w:rsid w:val="75063235"/>
    <w:rsid w:val="752A1D30"/>
    <w:rsid w:val="75490364"/>
    <w:rsid w:val="76C16039"/>
    <w:rsid w:val="770C4494"/>
    <w:rsid w:val="772A0047"/>
    <w:rsid w:val="772A7D07"/>
    <w:rsid w:val="77302D03"/>
    <w:rsid w:val="78C84117"/>
    <w:rsid w:val="78D94489"/>
    <w:rsid w:val="79013A8F"/>
    <w:rsid w:val="79744769"/>
    <w:rsid w:val="79A87A68"/>
    <w:rsid w:val="7A131A21"/>
    <w:rsid w:val="7A1A7C1A"/>
    <w:rsid w:val="7A3A7C45"/>
    <w:rsid w:val="7AD149ED"/>
    <w:rsid w:val="7AEC74D9"/>
    <w:rsid w:val="7B542190"/>
    <w:rsid w:val="7B605A80"/>
    <w:rsid w:val="7C0A04E6"/>
    <w:rsid w:val="7C146182"/>
    <w:rsid w:val="7C774014"/>
    <w:rsid w:val="7C9815F1"/>
    <w:rsid w:val="7CB713CF"/>
    <w:rsid w:val="7CB95EAD"/>
    <w:rsid w:val="7CE5303A"/>
    <w:rsid w:val="7D252EE6"/>
    <w:rsid w:val="7D3701DC"/>
    <w:rsid w:val="7D4F67B0"/>
    <w:rsid w:val="7D856AF4"/>
    <w:rsid w:val="7D857DE6"/>
    <w:rsid w:val="7D8E3C73"/>
    <w:rsid w:val="7E3114D0"/>
    <w:rsid w:val="7E8B44DB"/>
    <w:rsid w:val="7E9A4008"/>
    <w:rsid w:val="7F5E08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10">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7"/>
    <w:unhideWhenUsed/>
    <w:qFormat/>
    <w:uiPriority w:val="99"/>
    <w:rPr>
      <w:b/>
      <w:bCs/>
    </w:rPr>
  </w:style>
  <w:style w:type="paragraph" w:styleId="3">
    <w:name w:val="annotation text"/>
    <w:basedOn w:val="1"/>
    <w:link w:val="16"/>
    <w:unhideWhenUsed/>
    <w:qFormat/>
    <w:uiPriority w:val="99"/>
    <w:pPr>
      <w:jc w:val="left"/>
    </w:pPr>
  </w:style>
  <w:style w:type="paragraph" w:styleId="4">
    <w:name w:val="Normal Indent"/>
    <w:basedOn w:val="1"/>
    <w:unhideWhenUsed/>
    <w:qFormat/>
    <w:uiPriority w:val="99"/>
    <w:pPr>
      <w:ind w:firstLine="420"/>
    </w:pPr>
    <w:rPr>
      <w:rFonts w:cs="Times New Roman"/>
    </w:rPr>
  </w:style>
  <w:style w:type="paragraph" w:styleId="5">
    <w:name w:val="Body Text"/>
    <w:basedOn w:val="1"/>
    <w:next w:val="6"/>
    <w:unhideWhenUsed/>
    <w:qFormat/>
    <w:uiPriority w:val="99"/>
    <w:pPr>
      <w:jc w:val="center"/>
    </w:pPr>
    <w:rPr>
      <w:rFonts w:ascii="?????_GBK" w:cs="?????_GBK"/>
      <w:b/>
      <w:bCs/>
      <w:sz w:val="36"/>
      <w:szCs w:val="36"/>
    </w:rPr>
  </w:style>
  <w:style w:type="paragraph" w:customStyle="1" w:styleId="6">
    <w:name w:val="目录 11"/>
    <w:basedOn w:val="1"/>
    <w:next w:val="1"/>
    <w:qFormat/>
    <w:uiPriority w:val="99"/>
    <w:pPr>
      <w:widowControl/>
      <w:wordWrap w:val="0"/>
    </w:pPr>
    <w:rPr>
      <w:rFonts w:cs="Times New Roman"/>
      <w:kern w:val="0"/>
    </w:rPr>
  </w:style>
  <w:style w:type="paragraph" w:styleId="7">
    <w:name w:val="Balloon Text"/>
    <w:basedOn w:val="1"/>
    <w:link w:val="18"/>
    <w:unhideWhenUsed/>
    <w:qFormat/>
    <w:uiPriority w:val="99"/>
    <w:rPr>
      <w:sz w:val="18"/>
      <w:szCs w:val="18"/>
    </w:rPr>
  </w:style>
  <w:style w:type="paragraph" w:styleId="8">
    <w:name w:val="footer"/>
    <w:basedOn w:val="1"/>
    <w:next w:val="1"/>
    <w:link w:val="19"/>
    <w:unhideWhenUsed/>
    <w:qFormat/>
    <w:uiPriority w:val="0"/>
    <w:pPr>
      <w:tabs>
        <w:tab w:val="center" w:pos="4153"/>
        <w:tab w:val="right" w:pos="8306"/>
      </w:tabs>
      <w:snapToGrid w:val="0"/>
      <w:jc w:val="left"/>
    </w:pPr>
    <w:rPr>
      <w:rFonts w:cs="Times New Roman"/>
      <w:sz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cs="Times New Roman"/>
      <w:sz w:val="18"/>
    </w:rPr>
  </w:style>
  <w:style w:type="character" w:styleId="11">
    <w:name w:val="page number"/>
    <w:basedOn w:val="10"/>
    <w:unhideWhenUsed/>
    <w:qFormat/>
    <w:uiPriority w:val="0"/>
    <w:rPr>
      <w:rFonts w:hint="default"/>
      <w:sz w:val="24"/>
    </w:rPr>
  </w:style>
  <w:style w:type="character" w:styleId="12">
    <w:name w:val="Emphasis"/>
    <w:basedOn w:val="10"/>
    <w:qFormat/>
    <w:uiPriority w:val="20"/>
    <w:rPr>
      <w:i/>
      <w:iCs/>
    </w:rPr>
  </w:style>
  <w:style w:type="character" w:styleId="13">
    <w:name w:val="annotation reference"/>
    <w:basedOn w:val="10"/>
    <w:unhideWhenUsed/>
    <w:qFormat/>
    <w:uiPriority w:val="99"/>
    <w:rPr>
      <w:sz w:val="21"/>
      <w:szCs w:val="21"/>
    </w:rPr>
  </w:style>
  <w:style w:type="paragraph" w:customStyle="1" w:styleId="15">
    <w:name w:val="列出段落1"/>
    <w:basedOn w:val="1"/>
    <w:unhideWhenUsed/>
    <w:qFormat/>
    <w:uiPriority w:val="99"/>
    <w:pPr>
      <w:ind w:firstLine="420" w:firstLineChars="200"/>
    </w:pPr>
    <w:rPr>
      <w:rFonts w:cs="Times New Roman"/>
    </w:rPr>
  </w:style>
  <w:style w:type="character" w:customStyle="1" w:styleId="16">
    <w:name w:val="批注文字 Char"/>
    <w:basedOn w:val="10"/>
    <w:link w:val="3"/>
    <w:semiHidden/>
    <w:qFormat/>
    <w:uiPriority w:val="99"/>
    <w:rPr>
      <w:rFonts w:ascii="Calibri" w:hAnsi="Calibri"/>
      <w:kern w:val="2"/>
      <w:sz w:val="21"/>
      <w:szCs w:val="21"/>
    </w:rPr>
  </w:style>
  <w:style w:type="character" w:customStyle="1" w:styleId="17">
    <w:name w:val="批注主题 Char"/>
    <w:basedOn w:val="16"/>
    <w:link w:val="2"/>
    <w:semiHidden/>
    <w:qFormat/>
    <w:uiPriority w:val="99"/>
    <w:rPr>
      <w:rFonts w:ascii="Calibri" w:hAnsi="Calibri"/>
      <w:b/>
      <w:bCs/>
      <w:kern w:val="2"/>
      <w:sz w:val="21"/>
      <w:szCs w:val="21"/>
    </w:rPr>
  </w:style>
  <w:style w:type="character" w:customStyle="1" w:styleId="18">
    <w:name w:val="批注框文本 Char"/>
    <w:basedOn w:val="10"/>
    <w:link w:val="7"/>
    <w:semiHidden/>
    <w:qFormat/>
    <w:uiPriority w:val="99"/>
    <w:rPr>
      <w:rFonts w:ascii="Calibri" w:hAnsi="Calibri"/>
      <w:kern w:val="2"/>
      <w:sz w:val="18"/>
      <w:szCs w:val="18"/>
    </w:rPr>
  </w:style>
  <w:style w:type="character" w:customStyle="1" w:styleId="19">
    <w:name w:val="页脚 Char"/>
    <w:basedOn w:val="10"/>
    <w:link w:val="8"/>
    <w:qFormat/>
    <w:locked/>
    <w:uiPriority w:val="0"/>
    <w:rPr>
      <w:rFonts w:ascii="Calibri" w:hAnsi="Calibri"/>
      <w:kern w:val="2"/>
      <w:sz w:val="18"/>
      <w:szCs w:val="21"/>
    </w:rPr>
  </w:style>
  <w:style w:type="character" w:customStyle="1" w:styleId="20">
    <w:name w:val="font71"/>
    <w:basedOn w:val="10"/>
    <w:qFormat/>
    <w:uiPriority w:val="0"/>
    <w:rPr>
      <w:rFonts w:hint="eastAsia" w:ascii="仿宋_GB2312" w:eastAsia="仿宋_GB2312" w:cs="仿宋_GB2312"/>
      <w:color w:val="000000"/>
      <w:sz w:val="32"/>
      <w:szCs w:val="32"/>
      <w:u w:val="none"/>
    </w:rPr>
  </w:style>
  <w:style w:type="character" w:customStyle="1" w:styleId="21">
    <w:name w:val="font31"/>
    <w:basedOn w:val="10"/>
    <w:qFormat/>
    <w:uiPriority w:val="0"/>
    <w:rPr>
      <w:rFonts w:hint="default" w:ascii="Times New Roman" w:hAnsi="Times New Roman" w:cs="Times New Roman"/>
      <w:color w:val="000000"/>
      <w:sz w:val="32"/>
      <w:szCs w:val="32"/>
      <w:u w:val="none"/>
    </w:rPr>
  </w:style>
  <w:style w:type="character" w:customStyle="1" w:styleId="22">
    <w:name w:val="font91"/>
    <w:basedOn w:val="10"/>
    <w:qFormat/>
    <w:uiPriority w:val="0"/>
    <w:rPr>
      <w:rFonts w:hint="default" w:ascii="Times New Roman" w:hAnsi="Times New Roman" w:cs="Times New Roman"/>
      <w:color w:val="000000"/>
      <w:sz w:val="32"/>
      <w:szCs w:val="32"/>
      <w:u w:val="none"/>
    </w:rPr>
  </w:style>
  <w:style w:type="character" w:customStyle="1" w:styleId="23">
    <w:name w:val="font41"/>
    <w:basedOn w:val="10"/>
    <w:qFormat/>
    <w:uiPriority w:val="0"/>
    <w:rPr>
      <w:rFonts w:hint="eastAsia" w:ascii="仿宋_GB2312" w:eastAsia="仿宋_GB2312" w:cs="仿宋_GB2312"/>
      <w:color w:val="000000"/>
      <w:sz w:val="32"/>
      <w:szCs w:val="32"/>
      <w:u w:val="none"/>
    </w:rPr>
  </w:style>
  <w:style w:type="character" w:customStyle="1" w:styleId="24">
    <w:name w:val="font01"/>
    <w:basedOn w:val="10"/>
    <w:qFormat/>
    <w:uiPriority w:val="0"/>
    <w:rPr>
      <w:rFonts w:hint="default" w:ascii="Times New Roman" w:hAnsi="Times New Roman" w:cs="Times New Roman"/>
      <w:color w:val="000000"/>
      <w:sz w:val="32"/>
      <w:szCs w:val="32"/>
      <w:u w:val="none"/>
      <w:vertAlign w:val="subscript"/>
    </w:rPr>
  </w:style>
  <w:style w:type="character" w:customStyle="1" w:styleId="25">
    <w:name w:val="font81"/>
    <w:basedOn w:val="10"/>
    <w:qFormat/>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E1DFEF-DF8D-41E2-9CD2-FF0806445A5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5465</Words>
  <Characters>5658</Characters>
  <Lines>127</Lines>
  <Paragraphs>36</Paragraphs>
  <ScaleCrop>false</ScaleCrop>
  <LinksUpToDate>false</LinksUpToDate>
  <CharactersWithSpaces>5658</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2021-01-05T15:02:00Z</dcterms:created>
  <dc:creator>Administrator</dc:creator>
  <cp:lastModifiedBy>lenovo</cp:lastModifiedBy>
  <cp:lastPrinted>2021-01-11T10:03:00Z</cp:lastPrinted>
  <dcterms:modified xsi:type="dcterms:W3CDTF">2021-01-27T07:20:49Z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