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F423D">
      <w:pPr>
        <w:adjustRightInd w:val="0"/>
        <w:snapToGrid w:val="0"/>
        <w:jc w:val="center"/>
        <w:rPr>
          <w:rFonts w:ascii="Times New Roman" w:hAnsi="Times New Roman" w:eastAsia="黑体"/>
          <w:color w:val="auto"/>
          <w:szCs w:val="32"/>
          <w:highlight w:val="none"/>
        </w:rPr>
      </w:pPr>
      <w:bookmarkStart w:id="0" w:name="_Toc195795493"/>
    </w:p>
    <w:p w14:paraId="4678CAE6">
      <w:pPr>
        <w:adjustRightInd w:val="0"/>
        <w:snapToGrid w:val="0"/>
        <w:jc w:val="center"/>
        <w:rPr>
          <w:rFonts w:ascii="Times New Roman" w:hAnsi="Times New Roman" w:eastAsia="黑体"/>
          <w:color w:val="auto"/>
          <w:szCs w:val="32"/>
          <w:highlight w:val="none"/>
        </w:rPr>
      </w:pPr>
    </w:p>
    <w:p w14:paraId="6FB30F55">
      <w:pPr>
        <w:adjustRightInd w:val="0"/>
        <w:snapToGrid w:val="0"/>
        <w:jc w:val="center"/>
        <w:rPr>
          <w:rFonts w:ascii="Times New Roman" w:hAnsi="Times New Roman" w:eastAsia="黑体"/>
          <w:color w:val="auto"/>
          <w:szCs w:val="32"/>
          <w:highlight w:val="none"/>
        </w:rPr>
      </w:pPr>
    </w:p>
    <w:p w14:paraId="07FFAD83">
      <w:pPr>
        <w:adjustRightInd w:val="0"/>
        <w:snapToGrid w:val="0"/>
        <w:jc w:val="center"/>
        <w:rPr>
          <w:rFonts w:eastAsia="方正小标宋简体"/>
          <w:b/>
          <w:bCs/>
          <w:color w:val="auto"/>
          <w:sz w:val="40"/>
          <w:szCs w:val="40"/>
          <w:highlight w:val="none"/>
        </w:rPr>
      </w:pPr>
    </w:p>
    <w:p w14:paraId="2A562732">
      <w:pPr>
        <w:adjustRightInd w:val="0"/>
        <w:snapToGrid w:val="0"/>
        <w:jc w:val="center"/>
        <w:rPr>
          <w:rFonts w:eastAsia="方正小标宋简体"/>
          <w:b/>
          <w:bCs/>
          <w:color w:val="auto"/>
          <w:sz w:val="40"/>
          <w:szCs w:val="40"/>
          <w:highlight w:val="none"/>
        </w:rPr>
      </w:pPr>
    </w:p>
    <w:p w14:paraId="4FC83036">
      <w:pPr>
        <w:adjustRightInd w:val="0"/>
        <w:snapToGrid w:val="0"/>
        <w:jc w:val="center"/>
        <w:rPr>
          <w:rFonts w:eastAsia="方正小标宋简体"/>
          <w:b/>
          <w:bCs/>
          <w:color w:val="auto"/>
          <w:sz w:val="40"/>
          <w:szCs w:val="40"/>
          <w:highlight w:val="none"/>
        </w:rPr>
      </w:pPr>
    </w:p>
    <w:p w14:paraId="4CB0F11F">
      <w:pPr>
        <w:adjustRightInd w:val="0"/>
        <w:snapToGrid w:val="0"/>
        <w:jc w:val="center"/>
        <w:rPr>
          <w:rFonts w:eastAsia="方正小标宋简体"/>
          <w:b/>
          <w:bCs/>
          <w:color w:val="auto"/>
          <w:sz w:val="40"/>
          <w:szCs w:val="40"/>
          <w:highlight w:val="none"/>
        </w:rPr>
      </w:pPr>
    </w:p>
    <w:p w14:paraId="1D2136E2">
      <w:pPr>
        <w:adjustRightInd w:val="0"/>
        <w:snapToGrid w:val="0"/>
        <w:jc w:val="center"/>
        <w:rPr>
          <w:rFonts w:eastAsia="方正小标宋简体"/>
          <w:b/>
          <w:bCs/>
          <w:color w:val="auto"/>
          <w:sz w:val="40"/>
          <w:szCs w:val="40"/>
          <w:highlight w:val="none"/>
        </w:rPr>
      </w:pPr>
    </w:p>
    <w:p w14:paraId="76D05102">
      <w:pPr>
        <w:adjustRightInd w:val="0"/>
        <w:snapToGrid w:val="0"/>
        <w:jc w:val="center"/>
        <w:rPr>
          <w:rFonts w:eastAsia="方正小标宋简体"/>
          <w:b w:val="0"/>
          <w:bCs w:val="0"/>
          <w:color w:val="auto"/>
          <w:sz w:val="52"/>
          <w:szCs w:val="52"/>
          <w:highlight w:val="none"/>
        </w:rPr>
      </w:pPr>
      <w:r>
        <w:rPr>
          <w:rFonts w:hint="eastAsia" w:eastAsia="方正小标宋简体"/>
          <w:b w:val="0"/>
          <w:bCs w:val="0"/>
          <w:color w:val="auto"/>
          <w:sz w:val="52"/>
          <w:szCs w:val="52"/>
          <w:highlight w:val="none"/>
          <w:lang w:eastAsia="zh-CN"/>
        </w:rPr>
        <w:t>北京市</w:t>
      </w:r>
      <w:r>
        <w:rPr>
          <w:rFonts w:eastAsia="方正小标宋简体"/>
          <w:b w:val="0"/>
          <w:bCs w:val="0"/>
          <w:color w:val="auto"/>
          <w:sz w:val="52"/>
          <w:szCs w:val="52"/>
          <w:highlight w:val="none"/>
        </w:rPr>
        <w:t>朝阳区</w:t>
      </w:r>
    </w:p>
    <w:p w14:paraId="01BA2846">
      <w:pPr>
        <w:adjustRightInd w:val="0"/>
        <w:snapToGrid w:val="0"/>
        <w:jc w:val="center"/>
        <w:rPr>
          <w:rFonts w:hint="eastAsia" w:eastAsia="方正小标宋简体"/>
          <w:b w:val="0"/>
          <w:bCs w:val="0"/>
          <w:color w:val="auto"/>
          <w:sz w:val="48"/>
          <w:szCs w:val="48"/>
          <w:highlight w:val="none"/>
          <w:lang w:eastAsia="zh-CN"/>
        </w:rPr>
      </w:pPr>
      <w:bookmarkStart w:id="141" w:name="_GoBack"/>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十五五</w:t>
      </w:r>
      <w:r>
        <w:rPr>
          <w:rFonts w:hint="eastAsia" w:eastAsia="方正小标宋简体"/>
          <w:b w:val="0"/>
          <w:bCs w:val="0"/>
          <w:color w:val="auto"/>
          <w:sz w:val="52"/>
          <w:szCs w:val="52"/>
          <w:highlight w:val="none"/>
          <w:lang w:eastAsia="zh-CN"/>
        </w:rPr>
        <w:t>”</w:t>
      </w:r>
      <w:r>
        <w:rPr>
          <w:rFonts w:hint="eastAsia" w:eastAsia="方正小标宋简体"/>
          <w:b w:val="0"/>
          <w:bCs w:val="0"/>
          <w:color w:val="auto"/>
          <w:sz w:val="52"/>
          <w:szCs w:val="52"/>
          <w:highlight w:val="none"/>
        </w:rPr>
        <w:t>时期</w:t>
      </w:r>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两区</w:t>
      </w:r>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建设</w:t>
      </w:r>
      <w:r>
        <w:rPr>
          <w:rFonts w:hint="eastAsia" w:eastAsia="方正小标宋简体"/>
          <w:b w:val="0"/>
          <w:bCs w:val="0"/>
          <w:color w:val="auto"/>
          <w:sz w:val="52"/>
          <w:szCs w:val="52"/>
          <w:highlight w:val="none"/>
        </w:rPr>
        <w:t>创新提升发展规划</w:t>
      </w:r>
    </w:p>
    <w:bookmarkEnd w:id="141"/>
    <w:p w14:paraId="360F9BCF">
      <w:pPr>
        <w:jc w:val="center"/>
        <w:rPr>
          <w:color w:val="auto"/>
          <w:szCs w:val="32"/>
          <w:highlight w:val="none"/>
        </w:rPr>
      </w:pPr>
    </w:p>
    <w:p w14:paraId="0D2156A9">
      <w:pPr>
        <w:jc w:val="center"/>
        <w:rPr>
          <w:color w:val="auto"/>
          <w:szCs w:val="32"/>
          <w:highlight w:val="none"/>
        </w:rPr>
      </w:pPr>
    </w:p>
    <w:p w14:paraId="40E79C88">
      <w:pPr>
        <w:jc w:val="center"/>
        <w:rPr>
          <w:color w:val="auto"/>
          <w:szCs w:val="32"/>
          <w:highlight w:val="none"/>
        </w:rPr>
      </w:pPr>
    </w:p>
    <w:p w14:paraId="2DCA9D41">
      <w:pPr>
        <w:jc w:val="center"/>
        <w:rPr>
          <w:color w:val="auto"/>
          <w:szCs w:val="32"/>
          <w:highlight w:val="none"/>
        </w:rPr>
      </w:pPr>
    </w:p>
    <w:p w14:paraId="2FAC305C">
      <w:pPr>
        <w:jc w:val="center"/>
        <w:rPr>
          <w:color w:val="auto"/>
          <w:szCs w:val="32"/>
          <w:highlight w:val="none"/>
        </w:rPr>
      </w:pPr>
    </w:p>
    <w:p w14:paraId="464CD710">
      <w:pPr>
        <w:jc w:val="center"/>
        <w:rPr>
          <w:color w:val="auto"/>
          <w:szCs w:val="32"/>
          <w:highlight w:val="none"/>
        </w:rPr>
      </w:pPr>
    </w:p>
    <w:p w14:paraId="527094AF">
      <w:pPr>
        <w:jc w:val="center"/>
        <w:rPr>
          <w:color w:val="auto"/>
          <w:szCs w:val="32"/>
          <w:highlight w:val="none"/>
        </w:rPr>
      </w:pPr>
    </w:p>
    <w:p w14:paraId="254AFE2F">
      <w:pPr>
        <w:jc w:val="center"/>
        <w:rPr>
          <w:color w:val="auto"/>
          <w:szCs w:val="32"/>
          <w:highlight w:val="none"/>
        </w:rPr>
      </w:pPr>
    </w:p>
    <w:p w14:paraId="5FB7CF2C">
      <w:pPr>
        <w:jc w:val="center"/>
        <w:rPr>
          <w:rFonts w:hint="eastAsia" w:ascii="Times New Roman" w:hAnsi="Times New Roman" w:eastAsia="楷体_GB2312" w:cs="楷体_GB2312"/>
          <w:b w:val="0"/>
          <w:bCs w:val="0"/>
          <w:color w:val="auto"/>
          <w:sz w:val="36"/>
          <w:szCs w:val="36"/>
          <w:highlight w:val="none"/>
        </w:rPr>
      </w:pPr>
      <w:r>
        <w:rPr>
          <w:rFonts w:hint="eastAsia" w:ascii="Times New Roman" w:hAnsi="Times New Roman" w:eastAsia="楷体_GB2312" w:cs="楷体_GB2312"/>
          <w:b w:val="0"/>
          <w:bCs w:val="0"/>
          <w:color w:val="auto"/>
          <w:sz w:val="36"/>
          <w:szCs w:val="36"/>
          <w:highlight w:val="none"/>
        </w:rPr>
        <w:t>朝阳区商务局</w:t>
      </w:r>
    </w:p>
    <w:p w14:paraId="25FA8539">
      <w:pPr>
        <w:jc w:val="center"/>
        <w:rPr>
          <w:rFonts w:hint="default" w:ascii="Times New Roman" w:hAnsi="Times New Roman" w:eastAsia="楷体_GB2312" w:cs="Times New Roman"/>
          <w:b w:val="0"/>
          <w:bCs w:val="0"/>
          <w:color w:val="auto"/>
          <w:sz w:val="36"/>
          <w:szCs w:val="36"/>
          <w:highlight w:val="none"/>
        </w:rPr>
      </w:pPr>
      <w:r>
        <w:rPr>
          <w:rFonts w:hint="default" w:ascii="Times New Roman" w:hAnsi="Times New Roman" w:eastAsia="楷体_GB2312" w:cs="Times New Roman"/>
          <w:b w:val="0"/>
          <w:bCs w:val="0"/>
          <w:color w:val="auto"/>
          <w:sz w:val="36"/>
          <w:szCs w:val="36"/>
          <w:highlight w:val="none"/>
        </w:rPr>
        <w:t>202</w:t>
      </w:r>
      <w:r>
        <w:rPr>
          <w:rFonts w:hint="default" w:ascii="Times New Roman" w:hAnsi="Times New Roman" w:eastAsia="楷体_GB2312" w:cs="Times New Roman"/>
          <w:b w:val="0"/>
          <w:bCs w:val="0"/>
          <w:color w:val="auto"/>
          <w:sz w:val="36"/>
          <w:szCs w:val="36"/>
          <w:highlight w:val="none"/>
          <w:lang w:val="en-US" w:eastAsia="zh-CN"/>
        </w:rPr>
        <w:t>6</w:t>
      </w:r>
      <w:r>
        <w:rPr>
          <w:rFonts w:hint="default" w:ascii="Times New Roman" w:hAnsi="Times New Roman" w:eastAsia="楷体_GB2312" w:cs="Times New Roman"/>
          <w:b w:val="0"/>
          <w:bCs w:val="0"/>
          <w:color w:val="auto"/>
          <w:sz w:val="36"/>
          <w:szCs w:val="36"/>
          <w:highlight w:val="none"/>
        </w:rPr>
        <w:t>年</w:t>
      </w:r>
      <w:r>
        <w:rPr>
          <w:rFonts w:hint="eastAsia" w:eastAsia="楷体_GB2312" w:cs="Times New Roman"/>
          <w:b w:val="0"/>
          <w:bCs w:val="0"/>
          <w:color w:val="auto"/>
          <w:sz w:val="36"/>
          <w:szCs w:val="36"/>
          <w:highlight w:val="none"/>
          <w:lang w:val="en-US" w:eastAsia="zh-CN"/>
        </w:rPr>
        <w:t>9</w:t>
      </w:r>
      <w:r>
        <w:rPr>
          <w:rFonts w:hint="default" w:ascii="Times New Roman" w:hAnsi="Times New Roman" w:eastAsia="楷体_GB2312" w:cs="Times New Roman"/>
          <w:b w:val="0"/>
          <w:bCs w:val="0"/>
          <w:color w:val="auto"/>
          <w:sz w:val="36"/>
          <w:szCs w:val="36"/>
          <w:highlight w:val="none"/>
        </w:rPr>
        <w:t>月</w:t>
      </w:r>
    </w:p>
    <w:p w14:paraId="7CDEADDA">
      <w:pPr>
        <w:jc w:val="center"/>
        <w:rPr>
          <w:rFonts w:ascii="Times New Roman" w:hAnsi="Times New Roman" w:eastAsia="宋体"/>
          <w:color w:val="auto"/>
          <w:sz w:val="21"/>
          <w:highlight w:val="none"/>
        </w:rPr>
        <w:sectPr>
          <w:headerReference r:id="rId4" w:type="default"/>
          <w:headerReference r:id="rId5" w:type="even"/>
          <w:footerReference r:id="rId6" w:type="even"/>
          <w:footnotePr>
            <w:numRestart w:val="eachSect"/>
          </w:footnotePr>
          <w:type w:val="continuous"/>
          <w:pgSz w:w="11906" w:h="16838"/>
          <w:pgMar w:top="2098" w:right="1474" w:bottom="1984" w:left="1588" w:header="851" w:footer="992" w:gutter="0"/>
          <w:pgNumType w:fmt="upperRoman" w:start="1"/>
          <w:cols w:space="425" w:num="1"/>
          <w:docGrid w:type="lines" w:linePitch="312" w:charSpace="0"/>
        </w:sectPr>
      </w:pPr>
    </w:p>
    <w:p w14:paraId="42FA3210">
      <w:pPr>
        <w:adjustRightInd w:val="0"/>
        <w:snapToGrid w:val="0"/>
        <w:spacing w:line="600" w:lineRule="exact"/>
        <w:jc w:val="center"/>
        <w:outlineLvl w:val="0"/>
        <w:rPr>
          <w:rFonts w:eastAsia="黑体"/>
          <w:color w:val="auto"/>
          <w:sz w:val="36"/>
          <w:szCs w:val="36"/>
          <w:highlight w:val="none"/>
        </w:rPr>
      </w:pPr>
      <w:bookmarkStart w:id="1" w:name="_Toc11580"/>
      <w:bookmarkStart w:id="2" w:name="_Toc15843"/>
      <w:bookmarkStart w:id="3" w:name="_Toc24548"/>
      <w:bookmarkStart w:id="4" w:name="_Toc11373"/>
      <w:r>
        <w:rPr>
          <w:rFonts w:hint="eastAsia" w:eastAsia="黑体"/>
          <w:color w:val="auto"/>
          <w:sz w:val="36"/>
          <w:szCs w:val="36"/>
          <w:highlight w:val="none"/>
          <w:lang w:eastAsia="zh-CN"/>
        </w:rPr>
        <w:t>序</w:t>
      </w:r>
      <w:r>
        <w:rPr>
          <w:rFonts w:eastAsia="黑体"/>
          <w:color w:val="auto"/>
          <w:sz w:val="36"/>
          <w:szCs w:val="36"/>
          <w:highlight w:val="none"/>
        </w:rPr>
        <w:t xml:space="preserve">  言</w:t>
      </w:r>
      <w:bookmarkEnd w:id="1"/>
      <w:bookmarkEnd w:id="2"/>
      <w:bookmarkEnd w:id="3"/>
      <w:bookmarkEnd w:id="4"/>
    </w:p>
    <w:p w14:paraId="4E94B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04E02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国家</w:t>
      </w:r>
      <w:r>
        <w:rPr>
          <w:rFonts w:hint="eastAsia" w:ascii="Times New Roman" w:hAnsi="Times New Roman" w:eastAsia="仿宋_GB2312" w:cs="仿宋_GB2312"/>
          <w:color w:val="auto"/>
          <w:sz w:val="32"/>
          <w:szCs w:val="32"/>
          <w:highlight w:val="none"/>
        </w:rPr>
        <w:t>服务业扩大开放综合示范区</w:t>
      </w:r>
      <w:r>
        <w:rPr>
          <w:rFonts w:hint="eastAsia" w:ascii="Times New Roman" w:hAnsi="Times New Roman" w:eastAsia="仿宋_GB2312" w:cs="仿宋_GB2312"/>
          <w:color w:val="auto"/>
          <w:sz w:val="32"/>
          <w:szCs w:val="32"/>
          <w:highlight w:val="none"/>
          <w:lang w:eastAsia="zh-CN"/>
        </w:rPr>
        <w:t>朝阳区域</w:t>
      </w:r>
      <w:r>
        <w:rPr>
          <w:rFonts w:hint="eastAsia" w:ascii="Times New Roman" w:hAnsi="Times New Roman" w:cs="仿宋_GB2312"/>
          <w:color w:val="auto"/>
          <w:sz w:val="32"/>
          <w:szCs w:val="32"/>
          <w:highlight w:val="none"/>
          <w:lang w:eastAsia="zh-CN"/>
        </w:rPr>
        <w:t>和</w:t>
      </w:r>
      <w:r>
        <w:rPr>
          <w:rFonts w:hint="eastAsia" w:ascii="Times New Roman" w:hAnsi="Times New Roman" w:eastAsia="仿宋_GB2312" w:cs="仿宋_GB2312"/>
          <w:color w:val="auto"/>
          <w:sz w:val="32"/>
          <w:szCs w:val="32"/>
          <w:highlight w:val="none"/>
          <w:lang w:eastAsia="zh-CN"/>
        </w:rPr>
        <w:t>中国（北京）</w:t>
      </w:r>
      <w:r>
        <w:rPr>
          <w:rFonts w:hint="eastAsia" w:ascii="Times New Roman" w:hAnsi="Times New Roman" w:eastAsia="仿宋_GB2312" w:cs="仿宋_GB2312"/>
          <w:color w:val="auto"/>
          <w:sz w:val="32"/>
          <w:szCs w:val="32"/>
          <w:highlight w:val="none"/>
        </w:rPr>
        <w:t>自由贸易试验区</w:t>
      </w:r>
      <w:r>
        <w:rPr>
          <w:rFonts w:hint="eastAsia" w:ascii="Times New Roman" w:hAnsi="Times New Roman" w:eastAsia="仿宋_GB2312" w:cs="仿宋_GB2312"/>
          <w:color w:val="auto"/>
          <w:sz w:val="32"/>
          <w:szCs w:val="32"/>
          <w:highlight w:val="none"/>
          <w:lang w:eastAsia="zh-CN"/>
        </w:rPr>
        <w:t>国际商务服务片区朝阳组团</w:t>
      </w:r>
      <w:r>
        <w:rPr>
          <w:rFonts w:hint="eastAsia" w:ascii="Times New Roman" w:hAnsi="Times New Roman" w:eastAsia="仿宋_GB2312" w:cs="仿宋_GB2312"/>
          <w:color w:val="auto"/>
          <w:sz w:val="32"/>
          <w:szCs w:val="32"/>
          <w:highlight w:val="none"/>
        </w:rPr>
        <w:t>（以下简称</w:t>
      </w:r>
      <w:r>
        <w:rPr>
          <w:rFonts w:hint="eastAsia"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两区</w:t>
      </w:r>
      <w:r>
        <w:rPr>
          <w:rFonts w:hint="eastAsia"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w:t>
      </w:r>
      <w:r>
        <w:rPr>
          <w:rFonts w:hint="eastAsia"/>
          <w:color w:val="auto"/>
          <w:sz w:val="32"/>
          <w:szCs w:val="32"/>
          <w:highlight w:val="none"/>
          <w:lang w:val="en-US" w:eastAsia="zh-CN"/>
        </w:rPr>
        <w:t>是推进区域高水平对外开放、推动地方高质量发展的重要载体。</w:t>
      </w:r>
      <w:r>
        <w:rPr>
          <w:rFonts w:hint="eastAsia"/>
          <w:color w:val="auto"/>
          <w:sz w:val="32"/>
          <w:szCs w:val="32"/>
          <w:highlight w:val="none"/>
          <w:lang w:eastAsia="zh-CN"/>
        </w:rPr>
        <w:t>“</w:t>
      </w:r>
      <w:r>
        <w:rPr>
          <w:rFonts w:hint="default" w:ascii="Times New Roman" w:hAnsi="Times New Roman" w:eastAsia="仿宋_GB2312"/>
          <w:color w:val="auto"/>
          <w:sz w:val="32"/>
          <w:szCs w:val="32"/>
          <w:highlight w:val="none"/>
        </w:rPr>
        <w:t>十五五</w:t>
      </w:r>
      <w:r>
        <w:rPr>
          <w:rFonts w:hint="eastAsia"/>
          <w:color w:val="auto"/>
          <w:sz w:val="32"/>
          <w:szCs w:val="32"/>
          <w:highlight w:val="none"/>
          <w:lang w:eastAsia="zh-CN"/>
        </w:rPr>
        <w:t>”</w:t>
      </w:r>
      <w:r>
        <w:rPr>
          <w:rFonts w:hint="default" w:ascii="Times New Roman" w:hAnsi="Times New Roman" w:eastAsia="仿宋_GB2312"/>
          <w:color w:val="auto"/>
          <w:sz w:val="32"/>
          <w:szCs w:val="32"/>
          <w:highlight w:val="none"/>
        </w:rPr>
        <w:t>时期是基本实现社会主义现代化夯实基础、全面发力的关键时期</w:t>
      </w:r>
      <w:r>
        <w:rPr>
          <w:rFonts w:hint="eastAsia"/>
          <w:color w:val="auto"/>
          <w:sz w:val="32"/>
          <w:szCs w:val="32"/>
          <w:highlight w:val="none"/>
          <w:lang w:eastAsia="zh-CN"/>
        </w:rPr>
        <w:t>，</w:t>
      </w:r>
      <w:r>
        <w:rPr>
          <w:rFonts w:hint="eastAsia"/>
          <w:color w:val="auto"/>
          <w:sz w:val="32"/>
          <w:szCs w:val="32"/>
          <w:highlight w:val="none"/>
          <w:lang w:val="en-US" w:eastAsia="zh-CN"/>
        </w:rPr>
        <w:t>是朝阳区建设具有国际影响力的中国式现代化强区的重要五年</w:t>
      </w:r>
      <w:r>
        <w:rPr>
          <w:rFonts w:hint="eastAsia"/>
          <w:color w:val="auto"/>
          <w:sz w:val="32"/>
          <w:szCs w:val="32"/>
          <w:highlight w:val="none"/>
          <w:lang w:eastAsia="zh-CN"/>
        </w:rPr>
        <w:t>。</w:t>
      </w:r>
      <w:r>
        <w:rPr>
          <w:rFonts w:hint="eastAsia"/>
          <w:color w:val="auto"/>
          <w:sz w:val="32"/>
          <w:szCs w:val="32"/>
          <w:highlight w:val="none"/>
          <w:lang w:val="en-US" w:eastAsia="zh-CN"/>
        </w:rPr>
        <w:t>朝阳区</w:t>
      </w:r>
      <w:r>
        <w:rPr>
          <w:rFonts w:hint="eastAsia" w:ascii="Times New Roman" w:hAnsi="Times New Roman" w:eastAsia="仿宋_GB2312" w:cs="仿宋_GB2312"/>
          <w:color w:val="auto"/>
          <w:sz w:val="32"/>
          <w:szCs w:val="32"/>
          <w:highlight w:val="none"/>
          <w:lang w:val="en-US" w:eastAsia="zh-CN"/>
        </w:rPr>
        <w:t>国际化能级突出，创新活力强劲</w:t>
      </w:r>
      <w:r>
        <w:rPr>
          <w:rFonts w:hint="eastAsia" w:cs="仿宋_GB2312"/>
          <w:color w:val="auto"/>
          <w:sz w:val="32"/>
          <w:szCs w:val="32"/>
          <w:highlight w:val="none"/>
          <w:lang w:val="en-US" w:eastAsia="zh-CN"/>
        </w:rPr>
        <w:t>，为“两区”发展提供了良好基础。新时期</w:t>
      </w:r>
      <w:r>
        <w:rPr>
          <w:rFonts w:hint="eastAsia"/>
          <w:color w:val="auto"/>
          <w:sz w:val="32"/>
          <w:szCs w:val="32"/>
          <w:highlight w:val="none"/>
          <w:lang w:val="en-US" w:eastAsia="zh-CN"/>
        </w:rPr>
        <w:t>推动朝阳区“两区”建设创新提升是深化国家服务业扩大开放综合示范区建设、落实自由贸易试验区提升战略的重要举措，有助于巩固拓展国际化优势、破除开放创新瓶颈制约，对于更高水平对接国际高标准经贸规则开展先行先试，更大力度推动重点领域全产业链开放，更深层次扩大制度型开放，具有重大意义。</w:t>
      </w:r>
    </w:p>
    <w:p w14:paraId="330C92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olor w:val="auto"/>
          <w:highlight w:val="none"/>
          <w:lang w:val="en-US" w:eastAsia="zh-CN"/>
        </w:rPr>
      </w:pPr>
      <w:r>
        <w:rPr>
          <w:rFonts w:hint="eastAsia"/>
          <w:color w:val="auto"/>
          <w:sz w:val="32"/>
          <w:szCs w:val="32"/>
          <w:highlight w:val="none"/>
          <w:lang w:val="en-US" w:eastAsia="zh-CN"/>
        </w:rPr>
        <w:t>根据国家、北京市、朝阳区关于“两区”建设的相关要求，贯彻落实《中共北京市朝阳区委关于制定朝阳区国民经济和社会发展第十五个五年规划的建议》《北京市朝阳区国民经济和社会发展第十五个五年规划纲要》，编制《北京市朝阳区“十五五”时期“两区”建设创新提升发展规划》。本规划明确了未来五年</w:t>
      </w:r>
      <w:r>
        <w:rPr>
          <w:rFonts w:hint="eastAsia"/>
          <w:color w:val="auto"/>
          <w:sz w:val="32"/>
          <w:szCs w:val="32"/>
          <w:highlight w:val="none"/>
          <w:lang w:eastAsia="zh-CN"/>
        </w:rPr>
        <w:t>“</w:t>
      </w:r>
      <w:r>
        <w:rPr>
          <w:rFonts w:hint="default" w:eastAsia="仿宋_GB2312"/>
          <w:color w:val="auto"/>
          <w:sz w:val="32"/>
          <w:szCs w:val="32"/>
          <w:highlight w:val="none"/>
        </w:rPr>
        <w:t>两区</w:t>
      </w:r>
      <w:r>
        <w:rPr>
          <w:rFonts w:hint="eastAsia"/>
          <w:color w:val="auto"/>
          <w:sz w:val="32"/>
          <w:szCs w:val="32"/>
          <w:highlight w:val="none"/>
          <w:lang w:eastAsia="zh-CN"/>
        </w:rPr>
        <w:t>”</w:t>
      </w:r>
      <w:r>
        <w:rPr>
          <w:rFonts w:hint="default" w:eastAsia="仿宋_GB2312"/>
          <w:color w:val="auto"/>
          <w:sz w:val="32"/>
          <w:szCs w:val="32"/>
          <w:highlight w:val="none"/>
        </w:rPr>
        <w:t>建设</w:t>
      </w:r>
      <w:r>
        <w:rPr>
          <w:rFonts w:hint="eastAsia"/>
          <w:color w:val="auto"/>
          <w:sz w:val="32"/>
          <w:szCs w:val="32"/>
          <w:highlight w:val="none"/>
          <w:lang w:val="en-US" w:eastAsia="zh-CN"/>
        </w:rPr>
        <w:t>创新提升发展</w:t>
      </w:r>
      <w:r>
        <w:rPr>
          <w:rFonts w:hint="default" w:eastAsia="仿宋_GB2312"/>
          <w:color w:val="auto"/>
          <w:sz w:val="32"/>
          <w:szCs w:val="32"/>
          <w:highlight w:val="none"/>
        </w:rPr>
        <w:t>的方向、目标和重点任务，</w:t>
      </w:r>
      <w:r>
        <w:rPr>
          <w:rFonts w:hint="eastAsia"/>
          <w:color w:val="auto"/>
          <w:sz w:val="32"/>
          <w:szCs w:val="32"/>
          <w:highlight w:val="none"/>
          <w:lang w:val="en-US" w:eastAsia="zh-CN"/>
        </w:rPr>
        <w:t>引导相关市场主体行为，是</w:t>
      </w:r>
      <w:r>
        <w:rPr>
          <w:rFonts w:hint="eastAsia"/>
          <w:color w:val="auto"/>
          <w:sz w:val="32"/>
          <w:szCs w:val="32"/>
          <w:highlight w:val="none"/>
          <w:lang w:eastAsia="zh-CN"/>
        </w:rPr>
        <w:t>“</w:t>
      </w:r>
      <w:r>
        <w:rPr>
          <w:rFonts w:hint="eastAsia"/>
          <w:color w:val="auto"/>
          <w:sz w:val="32"/>
          <w:szCs w:val="32"/>
          <w:highlight w:val="none"/>
          <w:lang w:val="en-US" w:eastAsia="zh-CN"/>
        </w:rPr>
        <w:t>十五五</w:t>
      </w:r>
      <w:r>
        <w:rPr>
          <w:rFonts w:hint="eastAsia"/>
          <w:color w:val="auto"/>
          <w:sz w:val="32"/>
          <w:szCs w:val="32"/>
          <w:highlight w:val="none"/>
          <w:lang w:eastAsia="zh-CN"/>
        </w:rPr>
        <w:t>”</w:t>
      </w:r>
      <w:r>
        <w:rPr>
          <w:rFonts w:hint="eastAsia"/>
          <w:color w:val="auto"/>
          <w:sz w:val="32"/>
          <w:szCs w:val="32"/>
          <w:highlight w:val="none"/>
          <w:lang w:val="en-US" w:eastAsia="zh-CN"/>
        </w:rPr>
        <w:t>时期指导朝阳区“两区”建设的行动指南。</w:t>
      </w:r>
    </w:p>
    <w:p w14:paraId="3933F75A">
      <w:pPr>
        <w:jc w:val="center"/>
        <w:rPr>
          <w:rFonts w:hint="eastAsia" w:ascii="Times New Roman" w:hAnsi="Times New Roman" w:eastAsia="方正小标宋简体" w:cs="Times New Roman"/>
          <w:color w:val="auto"/>
          <w:kern w:val="0"/>
          <w:sz w:val="36"/>
          <w:szCs w:val="36"/>
          <w:highlight w:val="none"/>
          <w:lang w:val="zh-CN" w:eastAsia="zh-CN" w:bidi="ar-SA"/>
        </w:rPr>
      </w:pPr>
    </w:p>
    <w:p w14:paraId="4546DF5B">
      <w:pPr>
        <w:pStyle w:val="13"/>
        <w:rPr>
          <w:rFonts w:hint="eastAsia" w:ascii="Times New Roman" w:hAnsi="Times New Roman"/>
          <w:color w:val="auto"/>
          <w:highlight w:val="none"/>
          <w:lang w:val="zh-CN" w:eastAsia="zh-CN"/>
        </w:rPr>
        <w:sectPr>
          <w:footerReference r:id="rId7" w:type="default"/>
          <w:footnotePr>
            <w:numRestart w:val="eachSect"/>
          </w:footnotePr>
          <w:pgSz w:w="11906" w:h="16838"/>
          <w:pgMar w:top="1418" w:right="1474" w:bottom="1418" w:left="1588" w:header="851" w:footer="992" w:gutter="0"/>
          <w:pgNumType w:fmt="upperRoman" w:start="1"/>
          <w:cols w:space="425" w:num="1"/>
          <w:docGrid w:type="lines" w:linePitch="312" w:charSpace="0"/>
        </w:sectPr>
      </w:pPr>
    </w:p>
    <w:p w14:paraId="0A09A2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kern w:val="0"/>
          <w:sz w:val="44"/>
          <w:szCs w:val="44"/>
          <w:highlight w:val="none"/>
          <w:lang w:val="zh-CN" w:eastAsia="zh-CN" w:bidi="ar-SA"/>
        </w:rPr>
      </w:pPr>
      <w:r>
        <w:rPr>
          <w:rFonts w:hint="eastAsia" w:ascii="Times New Roman" w:hAnsi="Times New Roman" w:eastAsia="方正小标宋简体" w:cs="Times New Roman"/>
          <w:color w:val="auto"/>
          <w:kern w:val="0"/>
          <w:sz w:val="44"/>
          <w:szCs w:val="44"/>
          <w:highlight w:val="none"/>
          <w:lang w:val="zh-CN" w:eastAsia="zh-CN" w:bidi="ar-SA"/>
        </w:rPr>
        <w:t>目  录</w:t>
      </w:r>
    </w:p>
    <w:p w14:paraId="01550F5D">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TOC \o "1-2" \h \u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_Toc27203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kern w:val="44"/>
          <w:sz w:val="28"/>
          <w:szCs w:val="28"/>
          <w:highlight w:val="none"/>
        </w:rPr>
        <w:t xml:space="preserve">第一章 </w:t>
      </w:r>
      <w:r>
        <w:rPr>
          <w:rFonts w:hint="default" w:ascii="Times New Roman" w:hAnsi="Times New Roman" w:eastAsia="黑体" w:cs="Times New Roman"/>
          <w:color w:val="auto"/>
          <w:kern w:val="44"/>
          <w:sz w:val="28"/>
          <w:szCs w:val="28"/>
          <w:highlight w:val="none"/>
          <w:lang w:val="en-US" w:eastAsia="zh-CN"/>
        </w:rPr>
        <w:t>开启“两区”建设创新提升发展新征程</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_Toc27203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1</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8608F58">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_Toc26675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第一节 建设成效</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_Toc26675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D5EA689">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_Toc6137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第二节 发展形势</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_Toc6137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A064BA2">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_Toc25838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第三节 指导思想</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_Toc25838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F5ED85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_Toc7316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第四节 基本原则</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_Toc7316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EFC8252">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_Toc18929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第五节 发展目标</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_Toc18929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8</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003EF48">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_Toc9248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 xml:space="preserve">第二章 </w:t>
      </w:r>
      <w:r>
        <w:rPr>
          <w:rFonts w:hint="default" w:ascii="Times New Roman" w:hAnsi="Times New Roman" w:eastAsia="黑体" w:cs="Times New Roman"/>
          <w:color w:val="auto"/>
          <w:sz w:val="28"/>
          <w:szCs w:val="28"/>
          <w:highlight w:val="none"/>
          <w:lang w:val="en-US" w:eastAsia="zh-CN"/>
        </w:rPr>
        <w:t xml:space="preserve">对标高标准经贸规则 </w:t>
      </w:r>
      <w:r>
        <w:rPr>
          <w:rFonts w:hint="default" w:ascii="Times New Roman" w:hAnsi="Times New Roman" w:eastAsia="黑体" w:cs="Times New Roman"/>
          <w:color w:val="auto"/>
          <w:sz w:val="28"/>
          <w:szCs w:val="28"/>
          <w:highlight w:val="none"/>
        </w:rPr>
        <w:t>稳步推进制度型开放</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_Toc9248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11</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5E7500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_Toc4400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扩大重点领域开放试点</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_Toc4400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D8551F1">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_Toc22614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二</w:t>
      </w:r>
      <w:r>
        <w:rPr>
          <w:rFonts w:hint="default" w:ascii="Times New Roman" w:hAnsi="Times New Roman" w:eastAsia="楷体_GB2312" w:cs="Times New Roman"/>
          <w:color w:val="auto"/>
          <w:sz w:val="28"/>
          <w:szCs w:val="28"/>
          <w:highlight w:val="none"/>
          <w:lang w:val="en-US" w:eastAsia="zh-CN"/>
        </w:rPr>
        <w:t>节 提升金融创新发展质效</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_Toc22614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1CC4D3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_Toc28593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三</w:t>
      </w:r>
      <w:r>
        <w:rPr>
          <w:rFonts w:hint="default" w:ascii="Times New Roman" w:hAnsi="Times New Roman" w:eastAsia="楷体_GB2312" w:cs="Times New Roman"/>
          <w:color w:val="auto"/>
          <w:sz w:val="28"/>
          <w:szCs w:val="28"/>
          <w:highlight w:val="none"/>
          <w:lang w:val="en-US" w:eastAsia="zh-CN"/>
        </w:rPr>
        <w:t>节 促进人员跨境往来便利</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_Toc28593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617F66B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_Toc23680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四</w:t>
      </w:r>
      <w:r>
        <w:rPr>
          <w:rFonts w:hint="default" w:ascii="Times New Roman" w:hAnsi="Times New Roman" w:eastAsia="楷体_GB2312" w:cs="Times New Roman"/>
          <w:color w:val="auto"/>
          <w:sz w:val="28"/>
          <w:szCs w:val="28"/>
          <w:highlight w:val="none"/>
          <w:lang w:val="en-US" w:eastAsia="zh-CN"/>
        </w:rPr>
        <w:t>节 推动数据合规高效流通</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_Toc23680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1B39DFF">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_Toc3362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 xml:space="preserve">第三章 </w:t>
      </w:r>
      <w:r>
        <w:rPr>
          <w:rFonts w:hint="default" w:ascii="Times New Roman" w:hAnsi="Times New Roman" w:eastAsia="黑体" w:cs="Times New Roman"/>
          <w:color w:val="auto"/>
          <w:sz w:val="28"/>
          <w:szCs w:val="28"/>
          <w:highlight w:val="none"/>
          <w:lang w:eastAsia="zh"/>
        </w:rPr>
        <w:t>加大国际要素供给</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提升</w:t>
      </w:r>
      <w:r>
        <w:rPr>
          <w:rFonts w:hint="default" w:ascii="Times New Roman" w:hAnsi="Times New Roman" w:eastAsia="黑体" w:cs="Times New Roman"/>
          <w:color w:val="auto"/>
          <w:sz w:val="28"/>
          <w:szCs w:val="28"/>
          <w:highlight w:val="none"/>
          <w:lang w:eastAsia="zh"/>
        </w:rPr>
        <w:t>重点园区开放能级</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_Toc3362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20</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59698C1">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_Toc9981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提升北京自贸试验区朝阳组团国际资源配置能力</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_Toc9981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AC54F0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_Toc25430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增强中关村朝阳园创新引领功能</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_Toc25430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22</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23B1A1F">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_Toc10489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深化国家文化产业创新实验区建设</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_Toc10489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25</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6A890AA">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_Toc24247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四</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培育增量发展动能 促进对外贸易提质增效</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_Toc24247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28</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0E8547E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_Toc1402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sz w:val="28"/>
          <w:szCs w:val="28"/>
          <w:highlight w:val="none"/>
          <w:lang w:val="en-US" w:eastAsia="zh-CN"/>
        </w:rPr>
        <w:t>第一节 推动</w:t>
      </w:r>
      <w:r>
        <w:rPr>
          <w:rFonts w:hint="default" w:ascii="Times New Roman" w:hAnsi="Times New Roman" w:eastAsia="楷体_GB2312" w:cs="Times New Roman"/>
          <w:bCs w:val="0"/>
          <w:color w:val="auto"/>
          <w:sz w:val="28"/>
          <w:szCs w:val="28"/>
          <w:highlight w:val="none"/>
        </w:rPr>
        <w:t>货物贸易</w:t>
      </w:r>
      <w:r>
        <w:rPr>
          <w:rFonts w:hint="default" w:ascii="Times New Roman" w:hAnsi="Times New Roman" w:eastAsia="楷体_GB2312" w:cs="Times New Roman"/>
          <w:bCs w:val="0"/>
          <w:color w:val="auto"/>
          <w:sz w:val="28"/>
          <w:szCs w:val="28"/>
          <w:highlight w:val="none"/>
          <w:lang w:val="en-US" w:eastAsia="zh-CN"/>
        </w:rPr>
        <w:t>优化升级</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_Toc1402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28</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9838D1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_Toc25963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sz w:val="28"/>
          <w:szCs w:val="28"/>
          <w:highlight w:val="none"/>
          <w:lang w:val="en-US" w:eastAsia="zh-CN"/>
        </w:rPr>
        <w:t>第二节 增强</w:t>
      </w:r>
      <w:r>
        <w:rPr>
          <w:rFonts w:hint="default" w:ascii="Times New Roman" w:hAnsi="Times New Roman" w:eastAsia="楷体_GB2312" w:cs="Times New Roman"/>
          <w:bCs w:val="0"/>
          <w:color w:val="auto"/>
          <w:sz w:val="28"/>
          <w:szCs w:val="28"/>
          <w:highlight w:val="none"/>
        </w:rPr>
        <w:t>服务贸易</w:t>
      </w:r>
      <w:r>
        <w:rPr>
          <w:rFonts w:hint="default" w:ascii="Times New Roman" w:hAnsi="Times New Roman" w:eastAsia="楷体_GB2312" w:cs="Times New Roman"/>
          <w:bCs w:val="0"/>
          <w:color w:val="auto"/>
          <w:sz w:val="28"/>
          <w:szCs w:val="28"/>
          <w:highlight w:val="none"/>
          <w:lang w:val="en-US" w:eastAsia="zh-CN"/>
        </w:rPr>
        <w:t>发展活力</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_Toc25963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12CF98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_Toc1118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kern w:val="0"/>
          <w:sz w:val="28"/>
          <w:szCs w:val="28"/>
          <w:highlight w:val="none"/>
          <w:lang w:val="en-US" w:eastAsia="zh-CN" w:bidi="ar"/>
        </w:rPr>
        <w:t>第三节 支持数字贸易创新发展</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_Toc1118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32</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070AA15">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_Toc30944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五</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国际国内协同赋能 拓展双向投资合作空间</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_Toc30944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35</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211EADB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_Toc15934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创新招商引资机制</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_Toc15934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35</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B41B3C9">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_Toc166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拓展招商引资渠道</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_Toc166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3D15B7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_Toc20571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优化出海</w:t>
      </w:r>
      <w:r>
        <w:rPr>
          <w:rFonts w:hint="eastAsia" w:eastAsia="楷体_GB2312" w:cs="Times New Roman"/>
          <w:color w:val="auto"/>
          <w:sz w:val="28"/>
          <w:szCs w:val="28"/>
          <w:highlight w:val="none"/>
          <w:lang w:val="en-US" w:eastAsia="zh-CN"/>
        </w:rPr>
        <w:t>服务</w:t>
      </w:r>
      <w:r>
        <w:rPr>
          <w:rFonts w:hint="default" w:ascii="Times New Roman" w:hAnsi="Times New Roman" w:eastAsia="楷体_GB2312" w:cs="Times New Roman"/>
          <w:color w:val="auto"/>
          <w:sz w:val="28"/>
          <w:szCs w:val="28"/>
          <w:highlight w:val="none"/>
          <w:lang w:val="en-US" w:eastAsia="zh-CN"/>
        </w:rPr>
        <w:t>举措</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_Toc20571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6EC1DADC">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_Toc8450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六</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 xml:space="preserve">迭代升级改革举措 </w:t>
      </w:r>
      <w:r>
        <w:rPr>
          <w:rFonts w:hint="default" w:ascii="Times New Roman" w:hAnsi="Times New Roman" w:eastAsia="黑体" w:cs="Times New Roman"/>
          <w:color w:val="auto"/>
          <w:sz w:val="28"/>
          <w:szCs w:val="28"/>
          <w:highlight w:val="none"/>
        </w:rPr>
        <w:t>建设国际一流营商环境</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_Toc8450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39</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2817EE94">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_Toc21740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优化国际化政务服务环境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_Toc21740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39</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24B70C5">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_Toc16397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优化涉外法律服务环境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_Toc16397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082679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_Toc13756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优化引才留才服务环境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_Toc13756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7E53E2A4">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_Toc3177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七</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加强规划</w:t>
      </w:r>
      <w:r>
        <w:rPr>
          <w:rFonts w:hint="default" w:ascii="Times New Roman" w:hAnsi="Times New Roman" w:eastAsia="黑体" w:cs="Times New Roman"/>
          <w:color w:val="auto"/>
          <w:sz w:val="28"/>
          <w:szCs w:val="28"/>
          <w:highlight w:val="none"/>
        </w:rPr>
        <w:t>实施保障</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_Toc3177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43</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4DBE009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_Toc2665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坚持党的领导</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_Toc2665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43</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AA44B7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_Toc20165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完善实施机制</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_Toc20165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43</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A05297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_Toc14666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防范化解风险</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_Toc14666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9EAB1D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cs="Times New Roman"/>
          <w:color w:val="auto"/>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_Toc15072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第四节 加强监测评估</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_Toc15072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5C565EA6">
      <w:pPr>
        <w:pStyle w:val="23"/>
        <w:keepNext w:val="0"/>
        <w:keepLines w:val="0"/>
        <w:pageBreakBefore w:val="0"/>
        <w:kinsoku/>
        <w:wordWrap/>
        <w:overflowPunct/>
        <w:topLinePunct w:val="0"/>
        <w:autoSpaceDE/>
        <w:autoSpaceDN/>
        <w:bidi w:val="0"/>
        <w:adjustRightInd w:val="0"/>
        <w:snapToGrid w:val="0"/>
        <w:spacing w:after="0" w:afterAutospacing="0" w:line="400" w:lineRule="exact"/>
        <w:ind w:left="640"/>
        <w:textAlignment w:val="auto"/>
        <w:rPr>
          <w:rFonts w:ascii="Times New Roman" w:hAnsi="Times New Roman"/>
          <w:color w:val="auto"/>
          <w:sz w:val="28"/>
          <w:szCs w:val="28"/>
          <w:highlight w:val="none"/>
        </w:rPr>
        <w:sectPr>
          <w:footerReference r:id="rId8" w:type="default"/>
          <w:pgSz w:w="11906" w:h="16838"/>
          <w:pgMar w:top="2098" w:right="1474" w:bottom="1984" w:left="1587" w:header="851" w:footer="992" w:gutter="0"/>
          <w:pgNumType w:fmt="upperRoman" w:start="1"/>
          <w:cols w:space="0" w:num="1"/>
          <w:rtlGutter w:val="0"/>
          <w:docGrid w:type="lines" w:linePitch="443" w:charSpace="0"/>
        </w:sectPr>
      </w:pPr>
      <w:r>
        <w:rPr>
          <w:rFonts w:hint="default" w:ascii="Times New Roman" w:hAnsi="Times New Roman" w:cs="Times New Roman"/>
          <w:color w:val="auto"/>
          <w:szCs w:val="28"/>
          <w:highlight w:val="none"/>
        </w:rPr>
        <w:fldChar w:fldCharType="end"/>
      </w:r>
    </w:p>
    <w:p w14:paraId="1F547B88">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5" w:name="_Toc6539"/>
      <w:bookmarkStart w:id="6" w:name="_Toc5760"/>
      <w:bookmarkStart w:id="7" w:name="_Toc27203"/>
      <w:r>
        <w:rPr>
          <w:rFonts w:hint="eastAsia" w:ascii="Times New Roman" w:hAnsi="Times New Roman" w:eastAsia="方正小标宋简体" w:cs="Times New Roman"/>
          <w:color w:val="auto"/>
          <w:kern w:val="44"/>
          <w:sz w:val="36"/>
          <w:szCs w:val="36"/>
          <w:highlight w:val="none"/>
        </w:rPr>
        <w:t xml:space="preserve">第一章 </w:t>
      </w:r>
      <w:r>
        <w:rPr>
          <w:rFonts w:hint="eastAsia" w:ascii="Times New Roman" w:hAnsi="Times New Roman" w:eastAsia="方正小标宋简体" w:cs="Times New Roman"/>
          <w:color w:val="auto"/>
          <w:kern w:val="44"/>
          <w:sz w:val="36"/>
          <w:szCs w:val="36"/>
          <w:highlight w:val="none"/>
          <w:lang w:val="en-US" w:eastAsia="zh-CN"/>
        </w:rPr>
        <w:t>开启“两区”建设创新提升发展新征程</w:t>
      </w:r>
      <w:bookmarkEnd w:id="5"/>
      <w:bookmarkEnd w:id="6"/>
      <w:bookmarkEnd w:id="7"/>
    </w:p>
    <w:p w14:paraId="72252F00">
      <w:pPr>
        <w:spacing w:line="560" w:lineRule="exact"/>
        <w:ind w:firstLine="640" w:firstLineChars="200"/>
        <w:rPr>
          <w:b/>
          <w:bCs/>
          <w:color w:val="auto"/>
          <w:szCs w:val="32"/>
          <w:highlight w:val="none"/>
        </w:rPr>
      </w:pP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建设是中央和北京支持朝阳区开放发展的重大</w:t>
      </w:r>
      <w:r>
        <w:rPr>
          <w:rFonts w:hint="eastAsia"/>
          <w:color w:val="auto"/>
          <w:szCs w:val="32"/>
          <w:highlight w:val="none"/>
          <w:lang w:eastAsia="zh-CN"/>
        </w:rPr>
        <w:t>举措</w:t>
      </w:r>
      <w:r>
        <w:rPr>
          <w:rFonts w:hint="eastAsia"/>
          <w:color w:val="auto"/>
          <w:szCs w:val="32"/>
          <w:highlight w:val="none"/>
        </w:rPr>
        <w:t>，是构建新发展格局中赋予朝阳区的重大机遇。</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建设必须立足朝阳区实际，以高水平开放为引领、以制度创新为核心，</w:t>
      </w:r>
      <w:r>
        <w:rPr>
          <w:color w:val="auto"/>
          <w:szCs w:val="32"/>
          <w:highlight w:val="none"/>
        </w:rPr>
        <w:t>全面提升区域制度型开放水平、系统性改革成效、开放型经济质量</w:t>
      </w:r>
      <w:r>
        <w:rPr>
          <w:rFonts w:hint="eastAsia"/>
          <w:color w:val="auto"/>
          <w:szCs w:val="32"/>
          <w:highlight w:val="none"/>
        </w:rPr>
        <w:t>。</w:t>
      </w:r>
    </w:p>
    <w:p w14:paraId="1D16B146">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8" w:name="_Toc26675"/>
      <w:bookmarkStart w:id="9" w:name="_Toc11384"/>
      <w:bookmarkStart w:id="10" w:name="_Toc21708"/>
      <w:r>
        <w:rPr>
          <w:rFonts w:hint="eastAsia" w:ascii="Times New Roman" w:hAnsi="Times New Roman" w:eastAsia="黑体" w:cs="黑体"/>
          <w:color w:val="auto"/>
          <w:sz w:val="32"/>
          <w:szCs w:val="32"/>
          <w:highlight w:val="none"/>
          <w:lang w:eastAsia="zh-CN"/>
        </w:rPr>
        <w:t>第一节 建设成效</w:t>
      </w:r>
      <w:bookmarkEnd w:id="8"/>
      <w:bookmarkEnd w:id="9"/>
      <w:bookmarkEnd w:id="10"/>
    </w:p>
    <w:p w14:paraId="39FA405A">
      <w:pPr>
        <w:spacing w:line="560" w:lineRule="exact"/>
        <w:ind w:firstLine="640" w:firstLineChars="200"/>
        <w:rPr>
          <w:color w:val="auto"/>
          <w:szCs w:val="32"/>
          <w:highlight w:val="none"/>
        </w:rPr>
      </w:pPr>
      <w:r>
        <w:rPr>
          <w:rFonts w:hint="eastAsia"/>
          <w:color w:val="auto"/>
          <w:szCs w:val="32"/>
          <w:highlight w:val="none"/>
          <w:lang w:eastAsia="zh-CN"/>
        </w:rPr>
        <w:t>“</w:t>
      </w:r>
      <w:r>
        <w:rPr>
          <w:rFonts w:hint="eastAsia"/>
          <w:color w:val="auto"/>
          <w:szCs w:val="32"/>
          <w:highlight w:val="none"/>
        </w:rPr>
        <w:t>十四五</w:t>
      </w:r>
      <w:r>
        <w:rPr>
          <w:rFonts w:hint="eastAsia"/>
          <w:color w:val="auto"/>
          <w:szCs w:val="32"/>
          <w:highlight w:val="none"/>
          <w:lang w:eastAsia="zh-CN"/>
        </w:rPr>
        <w:t>”</w:t>
      </w:r>
      <w:r>
        <w:rPr>
          <w:rFonts w:hint="eastAsia"/>
          <w:color w:val="auto"/>
          <w:szCs w:val="32"/>
          <w:highlight w:val="none"/>
        </w:rPr>
        <w:t>时期是朝阳区开启</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建设征程的第一个五年。面对复杂多变的国际环境，朝阳</w:t>
      </w:r>
      <w:r>
        <w:rPr>
          <w:rFonts w:hint="eastAsia"/>
          <w:color w:val="auto"/>
          <w:szCs w:val="32"/>
          <w:highlight w:val="none"/>
          <w:lang w:eastAsia="zh-CN"/>
        </w:rPr>
        <w:t>区委、区政府</w:t>
      </w:r>
      <w:r>
        <w:rPr>
          <w:rFonts w:hint="eastAsia"/>
          <w:color w:val="auto"/>
          <w:szCs w:val="32"/>
          <w:highlight w:val="none"/>
        </w:rPr>
        <w:t>坚决贯彻落实党中央、国务院决策部署和北京</w:t>
      </w:r>
      <w:r>
        <w:rPr>
          <w:rFonts w:hint="eastAsia"/>
          <w:color w:val="auto"/>
          <w:szCs w:val="32"/>
          <w:highlight w:val="none"/>
          <w:lang w:eastAsia="zh-CN"/>
        </w:rPr>
        <w:t>市委、市政府</w:t>
      </w:r>
      <w:r>
        <w:rPr>
          <w:rFonts w:hint="eastAsia"/>
          <w:color w:val="auto"/>
          <w:szCs w:val="32"/>
          <w:highlight w:val="none"/>
        </w:rPr>
        <w:t>工作要求，融入国家战略、服务首都功能、立足朝阳实际，充分发挥国际化特色和政策叠加优势，着力推进开放发展，始终坚持以制度创新为核心，推动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建设取得丰硕成果。朝阳区连续三年在北京市</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建设工作推进评估中荣获A级评价，为</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时期进一步提升</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建设水平、构筑高水平开放新优势、打造高质量发展新动能奠定了坚实基础。</w:t>
      </w:r>
    </w:p>
    <w:p w14:paraId="73246CB9">
      <w:pPr>
        <w:spacing w:line="560" w:lineRule="exact"/>
        <w:ind w:firstLine="643" w:firstLineChars="200"/>
        <w:rPr>
          <w:color w:val="auto"/>
          <w:szCs w:val="32"/>
          <w:highlight w:val="none"/>
        </w:rPr>
      </w:pPr>
      <w:bookmarkStart w:id="11" w:name="_Toc18176"/>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工作机制不断</w:t>
      </w:r>
      <w:bookmarkEnd w:id="11"/>
      <w:r>
        <w:rPr>
          <w:rFonts w:hint="eastAsia"/>
          <w:b/>
          <w:bCs/>
          <w:color w:val="auto"/>
          <w:szCs w:val="32"/>
          <w:highlight w:val="none"/>
        </w:rPr>
        <w:t>完善。</w:t>
      </w:r>
      <w:r>
        <w:rPr>
          <w:color w:val="auto"/>
          <w:szCs w:val="32"/>
          <w:highlight w:val="none"/>
        </w:rPr>
        <w:t>统筹推动自贸试验区和国家服务业扩大开放综合示范区建设工作，制定出台</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领导小组工作机制、工作规则、下设机构方案和办公室工作细则</w:t>
      </w:r>
      <w:r>
        <w:rPr>
          <w:rFonts w:hint="eastAsia"/>
          <w:color w:val="auto"/>
          <w:szCs w:val="32"/>
          <w:highlight w:val="none"/>
        </w:rPr>
        <w:t>，建立</w:t>
      </w:r>
      <w:r>
        <w:rPr>
          <w:rFonts w:hint="eastAsia"/>
          <w:color w:val="auto"/>
          <w:szCs w:val="32"/>
          <w:highlight w:val="none"/>
          <w:lang w:eastAsia="zh-CN"/>
        </w:rPr>
        <w:t>“</w:t>
      </w:r>
      <w:r>
        <w:rPr>
          <w:color w:val="auto"/>
          <w:szCs w:val="32"/>
          <w:highlight w:val="none"/>
        </w:rPr>
        <w:t>1办+9组</w:t>
      </w:r>
      <w:r>
        <w:rPr>
          <w:rFonts w:hint="eastAsia"/>
          <w:color w:val="auto"/>
          <w:szCs w:val="32"/>
          <w:highlight w:val="none"/>
          <w:lang w:eastAsia="zh-CN"/>
        </w:rPr>
        <w:t>”</w:t>
      </w:r>
      <w:r>
        <w:rPr>
          <w:color w:val="auto"/>
          <w:szCs w:val="32"/>
          <w:highlight w:val="none"/>
        </w:rPr>
        <w:t>工作体系</w:t>
      </w:r>
      <w:r>
        <w:rPr>
          <w:rFonts w:hint="eastAsia"/>
          <w:color w:val="auto"/>
          <w:szCs w:val="32"/>
          <w:highlight w:val="none"/>
          <w:lang w:eastAsia="zh-CN"/>
        </w:rPr>
        <w:t>，</w:t>
      </w:r>
      <w:r>
        <w:rPr>
          <w:color w:val="auto"/>
          <w:szCs w:val="32"/>
          <w:highlight w:val="none"/>
        </w:rPr>
        <w:t>高标准对标、高质量对表，积极推动</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政策落地实施。先后制定出台系列</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w:t>
      </w:r>
      <w:r>
        <w:rPr>
          <w:color w:val="auto"/>
          <w:szCs w:val="32"/>
          <w:highlight w:val="none"/>
        </w:rPr>
        <w:t>工作方案和任务分工表。在全市率先出台区级《深化国家服务业扩大开放综合示范区建设工作方案》</w:t>
      </w:r>
      <w:r>
        <w:rPr>
          <w:rFonts w:hint="eastAsia"/>
          <w:color w:val="auto"/>
          <w:szCs w:val="32"/>
          <w:highlight w:val="none"/>
          <w:lang w:eastAsia="zh-CN"/>
        </w:rPr>
        <w:t>，按</w:t>
      </w:r>
      <w:r>
        <w:rPr>
          <w:color w:val="auto"/>
          <w:szCs w:val="32"/>
          <w:highlight w:val="none"/>
        </w:rPr>
        <w:t>年度制定</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建设工作要点，明确当年</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建设重点工作举措及分工。</w:t>
      </w:r>
      <w:r>
        <w:rPr>
          <w:rFonts w:hint="eastAsia"/>
          <w:color w:val="auto"/>
          <w:szCs w:val="32"/>
          <w:highlight w:val="none"/>
          <w:lang w:eastAsia="zh-CN"/>
        </w:rPr>
        <w:t>推</w:t>
      </w:r>
      <w:r>
        <w:rPr>
          <w:rFonts w:hint="eastAsia"/>
          <w:color w:val="auto"/>
          <w:szCs w:val="32"/>
          <w:highlight w:val="none"/>
        </w:rPr>
        <w:t>动150余项先行先试改革试点</w:t>
      </w:r>
      <w:r>
        <w:rPr>
          <w:rFonts w:hint="eastAsia"/>
          <w:color w:val="auto"/>
          <w:szCs w:val="32"/>
          <w:highlight w:val="none"/>
          <w:lang w:eastAsia="zh-CN"/>
        </w:rPr>
        <w:t>，</w:t>
      </w:r>
      <w:r>
        <w:rPr>
          <w:rFonts w:hint="eastAsia"/>
          <w:color w:val="auto"/>
          <w:szCs w:val="32"/>
          <w:highlight w:val="none"/>
        </w:rPr>
        <w:t>通过“政策研究+解读推介+服务指导”</w:t>
      </w:r>
      <w:r>
        <w:rPr>
          <w:rFonts w:hint="eastAsia"/>
          <w:color w:val="auto"/>
          <w:szCs w:val="32"/>
          <w:highlight w:val="none"/>
          <w:lang w:eastAsia="zh-CN"/>
        </w:rPr>
        <w:t>开展</w:t>
      </w:r>
      <w:r>
        <w:rPr>
          <w:rFonts w:hint="eastAsia"/>
          <w:color w:val="auto"/>
          <w:szCs w:val="32"/>
          <w:highlight w:val="none"/>
        </w:rPr>
        <w:t>政策</w:t>
      </w:r>
      <w:r>
        <w:rPr>
          <w:rFonts w:hint="eastAsia"/>
          <w:color w:val="auto"/>
          <w:szCs w:val="32"/>
          <w:highlight w:val="none"/>
          <w:lang w:eastAsia="zh-CN"/>
        </w:rPr>
        <w:t>推广</w:t>
      </w:r>
      <w:r>
        <w:rPr>
          <w:rFonts w:hint="eastAsia"/>
          <w:color w:val="auto"/>
          <w:szCs w:val="32"/>
          <w:highlight w:val="none"/>
        </w:rPr>
        <w:t>，推动“两区”政策多渠道触达企业，有效提升经营主体</w:t>
      </w:r>
      <w:r>
        <w:rPr>
          <w:rFonts w:hint="eastAsia"/>
          <w:color w:val="auto"/>
          <w:szCs w:val="32"/>
          <w:highlight w:val="none"/>
          <w:lang w:eastAsia="zh-CN"/>
        </w:rPr>
        <w:t>政策</w:t>
      </w:r>
      <w:r>
        <w:rPr>
          <w:rFonts w:hint="eastAsia"/>
          <w:color w:val="auto"/>
          <w:szCs w:val="32"/>
          <w:highlight w:val="none"/>
        </w:rPr>
        <w:t>获得感。</w:t>
      </w:r>
    </w:p>
    <w:p w14:paraId="650480C3">
      <w:pPr>
        <w:spacing w:line="560" w:lineRule="exact"/>
        <w:ind w:firstLine="643" w:firstLineChars="200"/>
        <w:rPr>
          <w:color w:val="auto"/>
          <w:szCs w:val="32"/>
          <w:highlight w:val="none"/>
        </w:rPr>
      </w:pPr>
      <w:bookmarkStart w:id="12" w:name="_Toc13262"/>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制度创新成果丰硕</w:t>
      </w:r>
      <w:bookmarkEnd w:id="12"/>
      <w:r>
        <w:rPr>
          <w:rFonts w:hint="eastAsia"/>
          <w:b/>
          <w:bCs/>
          <w:color w:val="auto"/>
          <w:szCs w:val="32"/>
          <w:highlight w:val="none"/>
        </w:rPr>
        <w:t>。</w:t>
      </w:r>
      <w:r>
        <w:rPr>
          <w:rFonts w:hint="eastAsia"/>
          <w:color w:val="auto"/>
          <w:szCs w:val="32"/>
          <w:highlight w:val="none"/>
        </w:rPr>
        <w:t>持续优化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制度创新育成体系，形成</w:t>
      </w:r>
      <w:r>
        <w:rPr>
          <w:rFonts w:hint="eastAsia"/>
          <w:color w:val="auto"/>
          <w:szCs w:val="32"/>
          <w:highlight w:val="none"/>
          <w:lang w:eastAsia="zh-CN"/>
        </w:rPr>
        <w:t>“</w:t>
      </w:r>
      <w:r>
        <w:rPr>
          <w:rFonts w:hint="eastAsia"/>
          <w:color w:val="auto"/>
          <w:szCs w:val="32"/>
          <w:highlight w:val="none"/>
        </w:rPr>
        <w:t>诉求调研—政策转化—方案编制—督办落地—成效总结</w:t>
      </w:r>
      <w:r>
        <w:rPr>
          <w:rFonts w:hint="eastAsia"/>
          <w:color w:val="auto"/>
          <w:szCs w:val="32"/>
          <w:highlight w:val="none"/>
          <w:lang w:eastAsia="zh-CN"/>
        </w:rPr>
        <w:t>”</w:t>
      </w:r>
      <w:r>
        <w:rPr>
          <w:rFonts w:hint="eastAsia"/>
          <w:color w:val="auto"/>
          <w:szCs w:val="32"/>
          <w:highlight w:val="none"/>
        </w:rPr>
        <w:t>的创新链条，围绕重点改革事项，培育和推动制度型开放创新场景，累计形成8</w:t>
      </w:r>
      <w:r>
        <w:rPr>
          <w:rFonts w:hint="eastAsia"/>
          <w:color w:val="auto"/>
          <w:szCs w:val="32"/>
          <w:highlight w:val="none"/>
          <w:lang w:val="en-US" w:eastAsia="zh-CN"/>
        </w:rPr>
        <w:t>9</w:t>
      </w:r>
      <w:r>
        <w:rPr>
          <w:rFonts w:hint="eastAsia"/>
          <w:color w:val="auto"/>
          <w:szCs w:val="32"/>
          <w:highlight w:val="none"/>
        </w:rPr>
        <w:t>项改革创新实践案例</w:t>
      </w:r>
      <w:r>
        <w:rPr>
          <w:rFonts w:hint="eastAsia"/>
          <w:color w:val="auto"/>
          <w:szCs w:val="32"/>
          <w:highlight w:val="none"/>
          <w:lang w:eastAsia="zh-CN"/>
        </w:rPr>
        <w:t>，</w:t>
      </w:r>
      <w:r>
        <w:rPr>
          <w:rFonts w:hint="eastAsia"/>
          <w:color w:val="auto"/>
          <w:szCs w:val="32"/>
          <w:highlight w:val="none"/>
        </w:rPr>
        <w:t>其中，</w:t>
      </w:r>
      <w:r>
        <w:rPr>
          <w:rFonts w:hint="eastAsia"/>
          <w:bCs/>
          <w:color w:val="auto"/>
          <w:szCs w:val="32"/>
          <w:highlight w:val="none"/>
        </w:rPr>
        <w:t>15项</w:t>
      </w:r>
      <w:r>
        <w:rPr>
          <w:bCs/>
          <w:color w:val="auto"/>
          <w:szCs w:val="32"/>
          <w:highlight w:val="none"/>
        </w:rPr>
        <w:t>案例</w:t>
      </w:r>
      <w:r>
        <w:rPr>
          <w:rFonts w:hint="eastAsia"/>
          <w:bCs/>
          <w:color w:val="auto"/>
          <w:szCs w:val="32"/>
          <w:highlight w:val="none"/>
        </w:rPr>
        <w:t>共1</w:t>
      </w:r>
      <w:r>
        <w:rPr>
          <w:rFonts w:hint="eastAsia"/>
          <w:bCs/>
          <w:color w:val="auto"/>
          <w:szCs w:val="32"/>
          <w:highlight w:val="none"/>
          <w:lang w:val="en-US" w:eastAsia="zh-CN"/>
        </w:rPr>
        <w:t>8</w:t>
      </w:r>
      <w:r>
        <w:rPr>
          <w:rFonts w:hint="eastAsia"/>
          <w:bCs/>
          <w:color w:val="auto"/>
          <w:szCs w:val="32"/>
          <w:highlight w:val="none"/>
        </w:rPr>
        <w:t>次</w:t>
      </w:r>
      <w:r>
        <w:rPr>
          <w:bCs/>
          <w:color w:val="auto"/>
          <w:szCs w:val="32"/>
          <w:highlight w:val="none"/>
        </w:rPr>
        <w:t>获</w:t>
      </w:r>
      <w:r>
        <w:rPr>
          <w:rFonts w:hint="eastAsia"/>
          <w:bCs/>
          <w:color w:val="auto"/>
          <w:szCs w:val="32"/>
          <w:highlight w:val="none"/>
        </w:rPr>
        <w:t>国家相关部门在</w:t>
      </w:r>
      <w:r>
        <w:rPr>
          <w:bCs/>
          <w:color w:val="auto"/>
          <w:szCs w:val="32"/>
          <w:highlight w:val="none"/>
        </w:rPr>
        <w:t>全国复制推广</w:t>
      </w:r>
      <w:r>
        <w:rPr>
          <w:rFonts w:hint="eastAsia"/>
          <w:bCs/>
          <w:color w:val="auto"/>
          <w:szCs w:val="32"/>
          <w:highlight w:val="none"/>
        </w:rPr>
        <w:t>，</w:t>
      </w:r>
      <w:r>
        <w:rPr>
          <w:rFonts w:hint="eastAsia"/>
          <w:bCs/>
          <w:color w:val="auto"/>
          <w:szCs w:val="32"/>
          <w:highlight w:val="none"/>
          <w:lang w:val="en-US" w:eastAsia="zh-CN"/>
        </w:rPr>
        <w:t>14</w:t>
      </w:r>
      <w:r>
        <w:rPr>
          <w:rFonts w:hint="eastAsia"/>
          <w:bCs/>
          <w:color w:val="auto"/>
          <w:szCs w:val="32"/>
          <w:highlight w:val="none"/>
        </w:rPr>
        <w:t>项</w:t>
      </w:r>
      <w:r>
        <w:rPr>
          <w:bCs/>
          <w:color w:val="auto"/>
          <w:szCs w:val="32"/>
          <w:highlight w:val="none"/>
        </w:rPr>
        <w:t>案例获北京市复制推广</w:t>
      </w:r>
      <w:r>
        <w:rPr>
          <w:rFonts w:hint="eastAsia"/>
          <w:bCs/>
          <w:color w:val="auto"/>
          <w:szCs w:val="32"/>
          <w:highlight w:val="none"/>
        </w:rPr>
        <w:t>，</w:t>
      </w:r>
      <w:r>
        <w:rPr>
          <w:rFonts w:hint="eastAsia"/>
          <w:bCs/>
          <w:color w:val="auto"/>
          <w:szCs w:val="32"/>
          <w:highlight w:val="none"/>
          <w:lang w:val="en-US" w:eastAsia="zh-CN"/>
        </w:rPr>
        <w:t>61</w:t>
      </w:r>
      <w:r>
        <w:rPr>
          <w:bCs/>
          <w:color w:val="auto"/>
          <w:szCs w:val="32"/>
          <w:highlight w:val="none"/>
        </w:rPr>
        <w:t>项成果入选全市</w:t>
      </w:r>
      <w:r>
        <w:rPr>
          <w:rFonts w:hint="eastAsia"/>
          <w:bCs/>
          <w:color w:val="auto"/>
          <w:szCs w:val="32"/>
          <w:highlight w:val="none"/>
          <w:lang w:eastAsia="zh-CN"/>
        </w:rPr>
        <w:t>“</w:t>
      </w:r>
      <w:r>
        <w:rPr>
          <w:bCs/>
          <w:color w:val="auto"/>
          <w:szCs w:val="32"/>
          <w:highlight w:val="none"/>
        </w:rPr>
        <w:t>三个一批</w:t>
      </w:r>
      <w:r>
        <w:rPr>
          <w:rFonts w:hint="eastAsia"/>
          <w:bCs/>
          <w:color w:val="auto"/>
          <w:szCs w:val="32"/>
          <w:highlight w:val="none"/>
          <w:lang w:eastAsia="zh-CN"/>
        </w:rPr>
        <w:t>”</w:t>
      </w:r>
      <w:r>
        <w:rPr>
          <w:rStyle w:val="34"/>
          <w:rFonts w:hint="eastAsia"/>
          <w:bCs/>
          <w:color w:val="auto"/>
          <w:szCs w:val="32"/>
          <w:highlight w:val="none"/>
          <w:lang w:eastAsia="zh-CN"/>
        </w:rPr>
        <w:footnoteReference w:id="0"/>
      </w:r>
      <w:r>
        <w:rPr>
          <w:rFonts w:hint="eastAsia"/>
          <w:bCs/>
          <w:color w:val="auto"/>
          <w:szCs w:val="32"/>
          <w:highlight w:val="none"/>
        </w:rPr>
        <w:t>清单</w:t>
      </w:r>
      <w:r>
        <w:rPr>
          <w:bCs/>
          <w:color w:val="auto"/>
          <w:szCs w:val="32"/>
          <w:highlight w:val="none"/>
        </w:rPr>
        <w:t>。</w:t>
      </w:r>
      <w:r>
        <w:rPr>
          <w:rFonts w:hint="eastAsia"/>
          <w:bCs/>
          <w:color w:val="auto"/>
          <w:szCs w:val="32"/>
          <w:highlight w:val="none"/>
        </w:rPr>
        <w:t>同时，</w:t>
      </w:r>
      <w:r>
        <w:rPr>
          <w:rFonts w:hint="eastAsia"/>
          <w:color w:val="auto"/>
          <w:szCs w:val="32"/>
          <w:highlight w:val="none"/>
        </w:rPr>
        <w:t>聚焦金融、数字经济、商务服务、医疗健康等重点领域，探索出多个全国领先、北京首创的开放模式。</w:t>
      </w:r>
      <w:bookmarkStart w:id="13" w:name="_Toc16434"/>
    </w:p>
    <w:p w14:paraId="025DDCE2">
      <w:pPr>
        <w:spacing w:line="560" w:lineRule="exact"/>
        <w:ind w:firstLine="643" w:firstLineChars="200"/>
        <w:rPr>
          <w:b/>
          <w:bCs/>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开放发展成效显著。</w:t>
      </w:r>
      <w:r>
        <w:rPr>
          <w:rFonts w:hint="eastAsia"/>
          <w:color w:val="auto"/>
          <w:szCs w:val="32"/>
          <w:highlight w:val="none"/>
        </w:rPr>
        <w:t>对外贸易量稳质升，</w:t>
      </w:r>
      <w:r>
        <w:rPr>
          <w:color w:val="auto"/>
          <w:szCs w:val="32"/>
          <w:highlight w:val="none"/>
        </w:rPr>
        <w:t>货物进出口规模持续位居全市首位，</w:t>
      </w:r>
      <w:r>
        <w:rPr>
          <w:rFonts w:hint="eastAsia"/>
          <w:color w:val="auto"/>
          <w:szCs w:val="32"/>
          <w:highlight w:val="none"/>
          <w:lang w:eastAsia="zh-CN"/>
        </w:rPr>
        <w:t>“十四五”期间，朝阳区进出口总额</w:t>
      </w:r>
      <w:r>
        <w:rPr>
          <w:color w:val="auto"/>
          <w:szCs w:val="32"/>
          <w:highlight w:val="none"/>
        </w:rPr>
        <w:t>达</w:t>
      </w:r>
      <w:r>
        <w:rPr>
          <w:rFonts w:hint="eastAsia"/>
          <w:color w:val="auto"/>
          <w:szCs w:val="32"/>
          <w:highlight w:val="none"/>
          <w:lang w:val="en-US" w:eastAsia="zh-CN"/>
        </w:rPr>
        <w:t>7.69</w:t>
      </w:r>
      <w:r>
        <w:rPr>
          <w:color w:val="auto"/>
          <w:szCs w:val="32"/>
          <w:highlight w:val="none"/>
        </w:rPr>
        <w:t>万亿元，占全市</w:t>
      </w:r>
      <w:r>
        <w:rPr>
          <w:rFonts w:hint="eastAsia"/>
          <w:color w:val="auto"/>
          <w:szCs w:val="32"/>
          <w:highlight w:val="none"/>
        </w:rPr>
        <w:t>进出口</w:t>
      </w:r>
      <w:r>
        <w:rPr>
          <w:color w:val="auto"/>
          <w:szCs w:val="32"/>
          <w:highlight w:val="none"/>
        </w:rPr>
        <w:t>总</w:t>
      </w:r>
      <w:r>
        <w:rPr>
          <w:rFonts w:hint="eastAsia"/>
          <w:color w:val="auto"/>
          <w:szCs w:val="32"/>
          <w:highlight w:val="none"/>
        </w:rPr>
        <w:t>额</w:t>
      </w:r>
      <w:r>
        <w:rPr>
          <w:color w:val="auto"/>
          <w:szCs w:val="32"/>
          <w:highlight w:val="none"/>
        </w:rPr>
        <w:t>的</w:t>
      </w:r>
      <w:r>
        <w:rPr>
          <w:rFonts w:hint="eastAsia"/>
          <w:color w:val="auto"/>
          <w:szCs w:val="32"/>
          <w:highlight w:val="none"/>
          <w:lang w:val="en-US" w:eastAsia="zh-CN"/>
        </w:rPr>
        <w:t>44.9</w:t>
      </w:r>
      <w:r>
        <w:rPr>
          <w:color w:val="auto"/>
          <w:szCs w:val="32"/>
          <w:highlight w:val="none"/>
        </w:rPr>
        <w:t>%</w:t>
      </w:r>
      <w:r>
        <w:rPr>
          <w:rFonts w:hint="eastAsia"/>
          <w:color w:val="auto"/>
          <w:szCs w:val="32"/>
          <w:highlight w:val="none"/>
        </w:rPr>
        <w:t>，</w:t>
      </w:r>
      <w:r>
        <w:rPr>
          <w:color w:val="auto"/>
          <w:szCs w:val="32"/>
          <w:highlight w:val="none"/>
        </w:rPr>
        <w:t>较</w:t>
      </w:r>
      <w:r>
        <w:rPr>
          <w:rFonts w:hint="eastAsia"/>
          <w:color w:val="auto"/>
          <w:szCs w:val="32"/>
          <w:highlight w:val="none"/>
          <w:lang w:eastAsia="zh-CN"/>
        </w:rPr>
        <w:t>“十三五”期间</w:t>
      </w:r>
      <w:r>
        <w:rPr>
          <w:rFonts w:hint="eastAsia"/>
          <w:color w:val="auto"/>
          <w:szCs w:val="32"/>
          <w:highlight w:val="none"/>
        </w:rPr>
        <w:t>扩大</w:t>
      </w:r>
      <w:r>
        <w:rPr>
          <w:rFonts w:hint="eastAsia"/>
          <w:color w:val="auto"/>
          <w:szCs w:val="32"/>
          <w:highlight w:val="none"/>
          <w:lang w:val="en-US" w:eastAsia="zh-CN"/>
        </w:rPr>
        <w:t>40.7</w:t>
      </w:r>
      <w:r>
        <w:rPr>
          <w:color w:val="auto"/>
          <w:szCs w:val="32"/>
          <w:highlight w:val="none"/>
        </w:rPr>
        <w:t>%。</w:t>
      </w:r>
      <w:r>
        <w:rPr>
          <w:rFonts w:hint="eastAsia"/>
          <w:color w:val="auto"/>
          <w:szCs w:val="32"/>
          <w:highlight w:val="none"/>
        </w:rPr>
        <w:t>招商引资</w:t>
      </w:r>
      <w:r>
        <w:rPr>
          <w:rFonts w:hint="eastAsia"/>
          <w:color w:val="auto"/>
          <w:szCs w:val="32"/>
          <w:highlight w:val="none"/>
          <w:lang w:eastAsia="zh-CN"/>
        </w:rPr>
        <w:t>“</w:t>
      </w:r>
      <w:r>
        <w:rPr>
          <w:rFonts w:hint="eastAsia"/>
          <w:color w:val="auto"/>
          <w:szCs w:val="32"/>
          <w:highlight w:val="none"/>
        </w:rPr>
        <w:t>磁力</w:t>
      </w:r>
      <w:r>
        <w:rPr>
          <w:rFonts w:hint="eastAsia"/>
          <w:color w:val="auto"/>
          <w:szCs w:val="32"/>
          <w:highlight w:val="none"/>
          <w:lang w:eastAsia="zh-CN"/>
        </w:rPr>
        <w:t>”</w:t>
      </w:r>
      <w:r>
        <w:rPr>
          <w:rFonts w:hint="eastAsia"/>
          <w:color w:val="auto"/>
          <w:szCs w:val="32"/>
          <w:highlight w:val="none"/>
        </w:rPr>
        <w:t>强劲，</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建设开展以来，招商引资累计填报入库项目5000个、落地项目3010个，预计投入资金6110.2亿元，其中入库外资项目7</w:t>
      </w:r>
      <w:r>
        <w:rPr>
          <w:rFonts w:hint="eastAsia"/>
          <w:color w:val="auto"/>
          <w:szCs w:val="32"/>
          <w:highlight w:val="none"/>
          <w:lang w:val="en-US" w:eastAsia="zh-CN"/>
        </w:rPr>
        <w:t>70</w:t>
      </w:r>
      <w:r>
        <w:rPr>
          <w:rFonts w:hint="eastAsia"/>
          <w:color w:val="auto"/>
          <w:szCs w:val="32"/>
          <w:highlight w:val="none"/>
        </w:rPr>
        <w:t>个、落地外资项目430个，预计投入外资金额</w:t>
      </w:r>
      <w:r>
        <w:rPr>
          <w:rFonts w:hint="eastAsia" w:ascii="Times New Roman" w:hAnsi="Times New Roman" w:eastAsia="仿宋_GB2312" w:cs="Times New Roman"/>
          <w:color w:val="auto"/>
          <w:kern w:val="2"/>
          <w:sz w:val="32"/>
          <w:szCs w:val="32"/>
          <w:highlight w:val="none"/>
          <w:lang w:val="en-US" w:eastAsia="zh-CN" w:bidi="ar-SA"/>
        </w:rPr>
        <w:t>238.19</w:t>
      </w:r>
      <w:r>
        <w:rPr>
          <w:rFonts w:hint="eastAsia"/>
          <w:color w:val="auto"/>
          <w:szCs w:val="32"/>
          <w:highlight w:val="none"/>
        </w:rPr>
        <w:t>亿美元，均居全市前列。8家全球商务科技联络站形成国际</w:t>
      </w:r>
      <w:r>
        <w:rPr>
          <w:rFonts w:hint="eastAsia"/>
          <w:color w:val="auto"/>
          <w:szCs w:val="32"/>
          <w:highlight w:val="none"/>
          <w:lang w:eastAsia="zh-CN"/>
        </w:rPr>
        <w:t>商务</w:t>
      </w:r>
      <w:r>
        <w:rPr>
          <w:rFonts w:hint="eastAsia"/>
          <w:color w:val="auto"/>
          <w:szCs w:val="32"/>
          <w:highlight w:val="none"/>
        </w:rPr>
        <w:t>网络，外资企业圆桌会、</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会客厅等活动形成品牌，吸引北京国际大数据交易所、朴道征信、渣打证券、穆巴达拉、壳牌新能源、安斯泰来中国投、逸安启新能源、诺瓦泰克等一批示范性、突破性项目落地。</w:t>
      </w:r>
    </w:p>
    <w:p w14:paraId="7AD75920">
      <w:pPr>
        <w:spacing w:line="560" w:lineRule="exact"/>
        <w:ind w:firstLine="643" w:firstLineChars="200"/>
        <w:rPr>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营商环境持续优化</w:t>
      </w:r>
      <w:bookmarkEnd w:id="13"/>
      <w:r>
        <w:rPr>
          <w:rFonts w:hint="eastAsia"/>
          <w:b/>
          <w:bCs/>
          <w:color w:val="auto"/>
          <w:szCs w:val="32"/>
          <w:highlight w:val="none"/>
        </w:rPr>
        <w:t>。</w:t>
      </w:r>
      <w:r>
        <w:rPr>
          <w:rFonts w:hint="eastAsia"/>
          <w:color w:val="auto"/>
          <w:szCs w:val="32"/>
          <w:highlight w:val="none"/>
        </w:rPr>
        <w:t>围绕市场化营商环境更加便捷高效、法治化营商环境更加公平可获、国际化营商环境更加开放包容，持续建设国际一流营商环境。北京商务中心区（CBD）区域内聚集</w:t>
      </w:r>
      <w:r>
        <w:rPr>
          <w:rFonts w:hint="eastAsia"/>
          <w:color w:val="auto"/>
          <w:szCs w:val="32"/>
          <w:highlight w:val="none"/>
          <w:lang w:eastAsia="zh-CN"/>
        </w:rPr>
        <w:t>近</w:t>
      </w:r>
      <w:r>
        <w:rPr>
          <w:rFonts w:hint="eastAsia"/>
          <w:color w:val="auto"/>
          <w:szCs w:val="32"/>
          <w:highlight w:val="none"/>
          <w:lang w:val="en-US" w:eastAsia="zh-CN"/>
        </w:rPr>
        <w:t>600</w:t>
      </w:r>
      <w:r>
        <w:rPr>
          <w:rFonts w:hint="eastAsia"/>
          <w:color w:val="auto"/>
          <w:szCs w:val="32"/>
          <w:highlight w:val="none"/>
        </w:rPr>
        <w:t>家律师事务所，落地国际商事仲裁中心（北京）实体平台。</w:t>
      </w:r>
      <w:r>
        <w:rPr>
          <w:color w:val="auto"/>
          <w:szCs w:val="32"/>
          <w:highlight w:val="none"/>
        </w:rPr>
        <w:t>轻微违法行为容错纠错清单</w:t>
      </w:r>
      <w:r>
        <w:rPr>
          <w:rFonts w:hint="eastAsia"/>
          <w:color w:val="auto"/>
          <w:szCs w:val="32"/>
          <w:highlight w:val="none"/>
        </w:rPr>
        <w:t>迭代升级至</w:t>
      </w:r>
      <w:r>
        <w:rPr>
          <w:color w:val="auto"/>
          <w:szCs w:val="32"/>
          <w:highlight w:val="none"/>
        </w:rPr>
        <w:t>3.0版，进一步推进柔性执法落地见效，培育和激发市场主体活力</w:t>
      </w:r>
      <w:r>
        <w:rPr>
          <w:rFonts w:hint="eastAsia"/>
          <w:color w:val="auto"/>
          <w:szCs w:val="32"/>
          <w:highlight w:val="none"/>
        </w:rPr>
        <w:t>。</w:t>
      </w:r>
      <w:r>
        <w:rPr>
          <w:color w:val="auto"/>
          <w:szCs w:val="32"/>
          <w:highlight w:val="none"/>
        </w:rPr>
        <w:t>外国自然人、香港非自然人投资主体登记业务</w:t>
      </w:r>
      <w:r>
        <w:rPr>
          <w:rFonts w:hint="eastAsia"/>
          <w:color w:val="auto"/>
          <w:szCs w:val="32"/>
          <w:highlight w:val="none"/>
        </w:rPr>
        <w:t>率</w:t>
      </w:r>
      <w:r>
        <w:rPr>
          <w:color w:val="auto"/>
          <w:szCs w:val="32"/>
          <w:highlight w:val="none"/>
        </w:rPr>
        <w:t>先在全市实现全程网办，建设近60个外语服务窗口，政务服务中心国际语言环境</w:t>
      </w:r>
      <w:r>
        <w:rPr>
          <w:rFonts w:hint="eastAsia"/>
          <w:color w:val="auto"/>
          <w:szCs w:val="32"/>
          <w:highlight w:val="none"/>
        </w:rPr>
        <w:t>显著</w:t>
      </w:r>
      <w:r>
        <w:rPr>
          <w:color w:val="auto"/>
          <w:szCs w:val="32"/>
          <w:highlight w:val="none"/>
        </w:rPr>
        <w:t>改善。</w:t>
      </w:r>
      <w:bookmarkStart w:id="14" w:name="_Toc13082"/>
    </w:p>
    <w:p w14:paraId="56F752E3">
      <w:pPr>
        <w:spacing w:line="560" w:lineRule="exact"/>
        <w:ind w:firstLine="643" w:firstLineChars="200"/>
        <w:rPr>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重点园区</w:t>
      </w:r>
      <w:bookmarkEnd w:id="14"/>
      <w:r>
        <w:rPr>
          <w:rFonts w:hint="eastAsia"/>
          <w:b/>
          <w:bCs/>
          <w:color w:val="auto"/>
          <w:szCs w:val="32"/>
          <w:highlight w:val="none"/>
        </w:rPr>
        <w:t>能级提升。</w:t>
      </w:r>
      <w:r>
        <w:rPr>
          <w:rFonts w:hint="eastAsia"/>
          <w:color w:val="auto"/>
          <w:szCs w:val="32"/>
          <w:highlight w:val="none"/>
        </w:rPr>
        <w:t>北京CBD、中关村朝阳园等重点园区围绕制度创新、项目落地等方面，持续提升服务企业质效。</w:t>
      </w:r>
      <w:r>
        <w:rPr>
          <w:rFonts w:hint="eastAsia"/>
          <w:color w:val="auto"/>
          <w:szCs w:val="32"/>
          <w:highlight w:val="none"/>
          <w:lang w:eastAsia="zh-CN"/>
        </w:rPr>
        <w:t>“</w:t>
      </w:r>
      <w:r>
        <w:rPr>
          <w:color w:val="auto"/>
          <w:szCs w:val="32"/>
          <w:highlight w:val="none"/>
        </w:rPr>
        <w:t>总部成长计划</w:t>
      </w:r>
      <w:r>
        <w:rPr>
          <w:rFonts w:hint="eastAsia"/>
          <w:color w:val="auto"/>
          <w:szCs w:val="32"/>
          <w:highlight w:val="none"/>
          <w:lang w:eastAsia="zh-CN"/>
        </w:rPr>
        <w:t>”</w:t>
      </w:r>
      <w:r>
        <w:rPr>
          <w:rFonts w:hint="eastAsia"/>
          <w:color w:val="auto"/>
          <w:szCs w:val="32"/>
          <w:highlight w:val="none"/>
        </w:rPr>
        <w:t>成功</w:t>
      </w:r>
      <w:r>
        <w:rPr>
          <w:color w:val="auto"/>
          <w:szCs w:val="32"/>
          <w:highlight w:val="none"/>
        </w:rPr>
        <w:t>实施，北京CBD</w:t>
      </w:r>
      <w:r>
        <w:rPr>
          <w:rFonts w:hint="eastAsia"/>
          <w:color w:val="auto"/>
          <w:szCs w:val="32"/>
          <w:highlight w:val="none"/>
        </w:rPr>
        <w:t>联合世界贸易网点联盟落地首个全球商务会客厅</w:t>
      </w:r>
      <w:r>
        <w:rPr>
          <w:color w:val="auto"/>
          <w:szCs w:val="32"/>
          <w:highlight w:val="none"/>
        </w:rPr>
        <w:t>，2024年成功当选全球商务区创新联合会新一任主席机构</w:t>
      </w:r>
      <w:r>
        <w:rPr>
          <w:rFonts w:hint="eastAsia"/>
          <w:color w:val="auto"/>
          <w:szCs w:val="32"/>
          <w:highlight w:val="none"/>
          <w:lang w:eastAsia="zh-CN"/>
        </w:rPr>
        <w:t>。</w:t>
      </w:r>
      <w:r>
        <w:rPr>
          <w:rFonts w:hint="eastAsia"/>
          <w:color w:val="auto"/>
          <w:szCs w:val="32"/>
          <w:highlight w:val="none"/>
          <w:lang w:val="en-US" w:eastAsia="zh-CN"/>
        </w:rPr>
        <w:t>CBD</w:t>
      </w:r>
      <w:r>
        <w:rPr>
          <w:rFonts w:hint="eastAsia"/>
          <w:color w:val="auto"/>
          <w:szCs w:val="32"/>
          <w:highlight w:val="none"/>
        </w:rPr>
        <w:t>区域内跨国公司地区总部</w:t>
      </w:r>
      <w:r>
        <w:rPr>
          <w:rFonts w:hint="eastAsia"/>
          <w:color w:val="auto"/>
          <w:szCs w:val="32"/>
          <w:highlight w:val="none"/>
          <w:lang w:eastAsia="zh-CN"/>
        </w:rPr>
        <w:t>累计认定总</w:t>
      </w:r>
      <w:r>
        <w:rPr>
          <w:rFonts w:hint="eastAsia"/>
          <w:color w:val="auto"/>
          <w:szCs w:val="32"/>
          <w:highlight w:val="none"/>
        </w:rPr>
        <w:t>数达到12</w:t>
      </w:r>
      <w:r>
        <w:rPr>
          <w:rFonts w:hint="eastAsia"/>
          <w:color w:val="auto"/>
          <w:szCs w:val="32"/>
          <w:highlight w:val="none"/>
          <w:lang w:val="en-US" w:eastAsia="zh-CN"/>
        </w:rPr>
        <w:t>5</w:t>
      </w:r>
      <w:r>
        <w:rPr>
          <w:rFonts w:hint="eastAsia"/>
          <w:color w:val="auto"/>
          <w:szCs w:val="32"/>
          <w:highlight w:val="none"/>
        </w:rPr>
        <w:t>家，占北京市近一半。中关村朝阳园</w:t>
      </w:r>
      <w:r>
        <w:rPr>
          <w:color w:val="auto"/>
          <w:szCs w:val="32"/>
          <w:highlight w:val="none"/>
        </w:rPr>
        <w:t>相继出台人工智能、数字医疗、数据要素等三年行动计划，构建</w:t>
      </w:r>
      <w:r>
        <w:rPr>
          <w:rFonts w:hint="eastAsia"/>
          <w:color w:val="auto"/>
          <w:szCs w:val="32"/>
          <w:highlight w:val="none"/>
          <w:lang w:eastAsia="zh-CN"/>
        </w:rPr>
        <w:t>“</w:t>
      </w:r>
      <w:r>
        <w:rPr>
          <w:color w:val="auto"/>
          <w:szCs w:val="32"/>
          <w:highlight w:val="none"/>
        </w:rPr>
        <w:t>1+1+N</w:t>
      </w:r>
      <w:r>
        <w:rPr>
          <w:rFonts w:hint="eastAsia"/>
          <w:color w:val="auto"/>
          <w:szCs w:val="32"/>
          <w:highlight w:val="none"/>
          <w:lang w:eastAsia="zh-CN"/>
        </w:rPr>
        <w:t>”</w:t>
      </w:r>
      <w:r>
        <w:rPr>
          <w:rFonts w:hint="eastAsia" w:ascii="Times New Roman" w:hAnsi="Times New Roman" w:eastAsia="仿宋_GB2312" w:cs="仿宋_GB2312"/>
          <w:color w:val="auto"/>
          <w:kern w:val="0"/>
          <w:sz w:val="32"/>
          <w:szCs w:val="32"/>
          <w:highlight w:val="none"/>
        </w:rPr>
        <w:t>科技创新</w:t>
      </w:r>
      <w:r>
        <w:rPr>
          <w:color w:val="auto"/>
          <w:szCs w:val="32"/>
          <w:highlight w:val="none"/>
        </w:rPr>
        <w:t>政策体系</w:t>
      </w:r>
      <w:r>
        <w:rPr>
          <w:rStyle w:val="34"/>
          <w:rFonts w:hint="eastAsia"/>
          <w:color w:val="auto"/>
          <w:szCs w:val="32"/>
          <w:highlight w:val="none"/>
          <w:lang w:eastAsia="zh-CN"/>
        </w:rPr>
        <w:footnoteReference w:id="1"/>
      </w:r>
      <w:r>
        <w:rPr>
          <w:rFonts w:hint="eastAsia"/>
          <w:color w:val="auto"/>
          <w:szCs w:val="32"/>
          <w:highlight w:val="none"/>
        </w:rPr>
        <w:t>；</w:t>
      </w:r>
      <w:r>
        <w:rPr>
          <w:rFonts w:hint="eastAsia" w:ascii="Times New Roman" w:hAnsi="Times New Roman" w:eastAsia="仿宋_GB2312" w:cs="仿宋_GB2312"/>
          <w:color w:val="auto"/>
          <w:kern w:val="2"/>
          <w:sz w:val="32"/>
          <w:szCs w:val="32"/>
          <w:highlight w:val="none"/>
          <w:lang w:val="en-US" w:eastAsia="zh-CN" w:bidi="ar"/>
        </w:rPr>
        <w:t>围绕细分产业领域建设</w:t>
      </w:r>
      <w:r>
        <w:rPr>
          <w:rFonts w:hint="default" w:ascii="Times New Roman" w:hAnsi="Times New Roman" w:eastAsia="仿宋_GB2312" w:cs="Times New Roman"/>
          <w:color w:val="auto"/>
          <w:kern w:val="2"/>
          <w:sz w:val="32"/>
          <w:szCs w:val="32"/>
          <w:highlight w:val="none"/>
          <w:lang w:val="en-US" w:eastAsia="zh-CN" w:bidi="ar"/>
        </w:rPr>
        <w:t>23</w:t>
      </w:r>
      <w:r>
        <w:rPr>
          <w:rFonts w:hint="eastAsia" w:ascii="Times New Roman" w:hAnsi="Times New Roman" w:eastAsia="仿宋_GB2312" w:cs="仿宋_GB2312"/>
          <w:color w:val="auto"/>
          <w:kern w:val="2"/>
          <w:sz w:val="32"/>
          <w:szCs w:val="32"/>
          <w:highlight w:val="none"/>
          <w:lang w:val="en-US" w:eastAsia="zh-CN" w:bidi="ar"/>
        </w:rPr>
        <w:t>个专业特色产业园区，其中</w:t>
      </w:r>
      <w:r>
        <w:rPr>
          <w:rFonts w:hint="default" w:ascii="Times New Roman" w:hAnsi="Times New Roman" w:eastAsia="仿宋_GB2312" w:cs="Times New Roman"/>
          <w:color w:val="auto"/>
          <w:kern w:val="2"/>
          <w:sz w:val="32"/>
          <w:szCs w:val="32"/>
          <w:highlight w:val="none"/>
          <w:lang w:val="en-US" w:eastAsia="zh-CN" w:bidi="ar"/>
        </w:rPr>
        <w:t>9</w:t>
      </w:r>
      <w:r>
        <w:rPr>
          <w:rFonts w:hint="eastAsia" w:ascii="Times New Roman" w:hAnsi="Times New Roman" w:eastAsia="仿宋_GB2312" w:cs="仿宋_GB2312"/>
          <w:color w:val="auto"/>
          <w:kern w:val="2"/>
          <w:sz w:val="32"/>
          <w:szCs w:val="32"/>
          <w:highlight w:val="none"/>
          <w:lang w:val="en-US" w:eastAsia="zh-CN" w:bidi="ar"/>
        </w:rPr>
        <w:t>个获市级部门认定</w:t>
      </w:r>
      <w:r>
        <w:rPr>
          <w:rFonts w:hint="eastAsia"/>
          <w:color w:val="auto"/>
          <w:szCs w:val="32"/>
          <w:highlight w:val="none"/>
          <w:lang w:val="zh-TW" w:eastAsia="zh-CN"/>
        </w:rPr>
        <w:t>，</w:t>
      </w:r>
      <w:r>
        <w:rPr>
          <w:rFonts w:hint="eastAsia"/>
          <w:color w:val="auto"/>
          <w:szCs w:val="32"/>
          <w:highlight w:val="none"/>
        </w:rPr>
        <w:t>科技创新资源高度集聚，</w:t>
      </w:r>
      <w:r>
        <w:rPr>
          <w:color w:val="auto"/>
          <w:szCs w:val="32"/>
          <w:highlight w:val="none"/>
          <w:lang w:val="zh-TW"/>
        </w:rPr>
        <w:t>创新生态服务体系</w:t>
      </w:r>
      <w:r>
        <w:rPr>
          <w:rFonts w:hint="eastAsia"/>
          <w:color w:val="auto"/>
          <w:szCs w:val="32"/>
          <w:highlight w:val="none"/>
        </w:rPr>
        <w:t>不断完善</w:t>
      </w:r>
      <w:r>
        <w:rPr>
          <w:color w:val="auto"/>
          <w:szCs w:val="32"/>
          <w:highlight w:val="none"/>
          <w:lang w:val="zh-TW"/>
        </w:rPr>
        <w:t>。</w:t>
      </w:r>
    </w:p>
    <w:p w14:paraId="0ED6FB8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15" w:name="_Toc12941"/>
      <w:bookmarkStart w:id="16" w:name="_Toc6553"/>
      <w:bookmarkStart w:id="17" w:name="_Toc6137"/>
      <w:bookmarkStart w:id="18" w:name="_Toc12172"/>
      <w:r>
        <w:rPr>
          <w:rFonts w:hint="eastAsia" w:ascii="Times New Roman" w:hAnsi="Times New Roman" w:eastAsia="黑体" w:cs="黑体"/>
          <w:color w:val="auto"/>
          <w:sz w:val="32"/>
          <w:szCs w:val="32"/>
          <w:highlight w:val="none"/>
          <w:lang w:eastAsia="zh-CN"/>
        </w:rPr>
        <w:t>第二节 发展形势</w:t>
      </w:r>
      <w:bookmarkEnd w:id="15"/>
      <w:bookmarkEnd w:id="16"/>
      <w:bookmarkEnd w:id="17"/>
      <w:bookmarkEnd w:id="18"/>
    </w:p>
    <w:p w14:paraId="0D6BA815">
      <w:pPr>
        <w:spacing w:line="560" w:lineRule="exact"/>
        <w:ind w:firstLine="640" w:firstLineChars="200"/>
        <w:rPr>
          <w:color w:val="auto"/>
          <w:szCs w:val="32"/>
          <w:highlight w:val="none"/>
        </w:rPr>
      </w:pPr>
      <w:r>
        <w:rPr>
          <w:rFonts w:hint="eastAsia"/>
          <w:color w:val="auto"/>
          <w:szCs w:val="32"/>
          <w:highlight w:val="none"/>
        </w:rPr>
        <w:t>展望</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时期，世界百年变局加速演进，外部环境变化带来的不利影响可能加深，国内经济运行仍面临不少困难，朝阳区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建设既面临高水平开放持续推进、新产业新业态引领发展等重大机遇，也面临国际环境动荡分化、国内竞争更趋激烈等新的风险挑战。</w:t>
      </w:r>
    </w:p>
    <w:p w14:paraId="5436AAEC">
      <w:pPr>
        <w:spacing w:line="560" w:lineRule="exact"/>
        <w:ind w:firstLine="643" w:firstLineChars="200"/>
        <w:rPr>
          <w:color w:val="auto"/>
          <w:szCs w:val="32"/>
          <w:highlight w:val="none"/>
        </w:rPr>
      </w:pPr>
      <w:r>
        <w:rPr>
          <w:rFonts w:hint="eastAsia"/>
          <w:b/>
          <w:bCs/>
          <w:color w:val="auto"/>
          <w:szCs w:val="32"/>
          <w:highlight w:val="none"/>
        </w:rPr>
        <w:t>发展机遇。</w:t>
      </w:r>
      <w:r>
        <w:rPr>
          <w:rFonts w:hint="eastAsia"/>
          <w:b w:val="0"/>
          <w:bCs w:val="0"/>
          <w:color w:val="auto"/>
          <w:szCs w:val="32"/>
          <w:highlight w:val="none"/>
        </w:rPr>
        <w:t>高水平对外开放部署为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建设指明方向。国际经贸规则加速新一轮重构，逐步从商品和要素流动型开放向制度型开放转变，我国主动对接高标准经贸规则，推动规则、规制、管理、标准相通相容，为朝阳区发挥国际化特色和服务业优势，提升</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建设水平带来新的契机。新质生产力发展为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创新蓄势赋能。创新在加快发展新质生产力的进程中</w:t>
      </w:r>
      <w:r>
        <w:rPr>
          <w:rFonts w:hint="eastAsia"/>
          <w:b w:val="0"/>
          <w:bCs w:val="0"/>
          <w:color w:val="auto"/>
          <w:szCs w:val="32"/>
          <w:highlight w:val="none"/>
          <w:lang w:eastAsia="zh-CN"/>
        </w:rPr>
        <w:t>起到</w:t>
      </w:r>
      <w:r>
        <w:rPr>
          <w:rFonts w:hint="eastAsia"/>
          <w:b w:val="0"/>
          <w:bCs w:val="0"/>
          <w:color w:val="auto"/>
          <w:szCs w:val="32"/>
          <w:highlight w:val="none"/>
        </w:rPr>
        <w:t>主导作用，要求优化创新要素配置形式，在全球范围内高效引入优质资本、关键资源、先进技术、拔尖人才。朝阳区研发活动活跃、科创氛围浓厚、应用场景多元，依托</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政策优势打造重点产业开放创新生态极具基础和优势。新一轮科技革命和产业变革为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培育新优势创造契机。数字技术日益融入经济社会发展各领域全过程，我国正积极扩大数字领域对外开放，大力发展数字贸易。朝阳区可数字化交付的服务贸易规模大、占比高，为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在新领域的创新发展提供了强劲动力。</w:t>
      </w:r>
    </w:p>
    <w:p w14:paraId="153B9CB9">
      <w:pPr>
        <w:spacing w:line="560" w:lineRule="exact"/>
        <w:ind w:firstLine="643" w:firstLineChars="200"/>
        <w:rPr>
          <w:b w:val="0"/>
          <w:bCs w:val="0"/>
          <w:color w:val="auto"/>
          <w:szCs w:val="32"/>
          <w:highlight w:val="none"/>
        </w:rPr>
      </w:pPr>
      <w:r>
        <w:rPr>
          <w:rFonts w:hint="eastAsia"/>
          <w:b/>
          <w:bCs/>
          <w:color w:val="auto"/>
          <w:szCs w:val="32"/>
          <w:highlight w:val="none"/>
        </w:rPr>
        <w:t>风险挑战。</w:t>
      </w:r>
      <w:r>
        <w:rPr>
          <w:rFonts w:hint="eastAsia"/>
          <w:b w:val="0"/>
          <w:bCs w:val="0"/>
          <w:color w:val="auto"/>
          <w:szCs w:val="32"/>
          <w:highlight w:val="none"/>
        </w:rPr>
        <w:t>从国际环境看，不确定性带来严峻考验。全球经济更趋碎片化，</w:t>
      </w:r>
      <w:r>
        <w:rPr>
          <w:rFonts w:hint="eastAsia"/>
          <w:b w:val="0"/>
          <w:bCs w:val="0"/>
          <w:color w:val="auto"/>
          <w:szCs w:val="32"/>
          <w:highlight w:val="none"/>
          <w:lang w:eastAsia="zh-CN"/>
        </w:rPr>
        <w:t>“</w:t>
      </w:r>
      <w:r>
        <w:rPr>
          <w:rFonts w:hint="eastAsia"/>
          <w:b w:val="0"/>
          <w:bCs w:val="0"/>
          <w:color w:val="auto"/>
          <w:szCs w:val="32"/>
          <w:highlight w:val="none"/>
        </w:rPr>
        <w:t>高摩擦、低信任</w:t>
      </w:r>
      <w:r>
        <w:rPr>
          <w:rFonts w:hint="eastAsia"/>
          <w:b w:val="0"/>
          <w:bCs w:val="0"/>
          <w:color w:val="auto"/>
          <w:szCs w:val="32"/>
          <w:highlight w:val="none"/>
          <w:lang w:eastAsia="zh-CN"/>
        </w:rPr>
        <w:t>”</w:t>
      </w:r>
      <w:r>
        <w:rPr>
          <w:rFonts w:hint="eastAsia"/>
          <w:b w:val="0"/>
          <w:bCs w:val="0"/>
          <w:color w:val="auto"/>
          <w:szCs w:val="32"/>
          <w:highlight w:val="none"/>
        </w:rPr>
        <w:t>特征明显，单边主义、保护主义、霸凌主义扰乱国际产业链供应链，金融市场动荡加剧，国际经济贸易秩序遇到严峻挑战，安全形势日益复杂。朝阳区作为开放前沿，更易受国际环境不稳定性不确定性冲击。从国内形势看，区域间竞争带来更大压力。各地主动加强政策制度创新，竞相抢占发展先机，海南自由贸易港、横琴粤澳深度合作区、上海临港新片区等地政策更加开放、先行先试更加便利，服务贸易因其高流动性、轻资产等特征受影响巨大，贸易新业态新模式因区内无海关特殊监管区域制约其创新成效和竞争力。在此背景下，朝阳开放创新的传统优势面临更大挑战。从产业发展看，产业转型升级提出新的要求。新业态、新模式、新要素迅猛发展、跨界融合，不少领域的政策法规、监管措施、场景服务存在迟滞甚至缺位，亟待更新完善，新兴业态和前沿赛道引育尚未成型起势，融合发展及应用场景牵引的质效仍待提升，差别化探索和系统化、集成式改革的水平有待提高。从管理架构看，体制机制有待进一步完善。以CPTPP、DEPA为代表的经贸协定呈现出</w:t>
      </w:r>
      <w:r>
        <w:rPr>
          <w:color w:val="auto"/>
          <w:sz w:val="32"/>
          <w:szCs w:val="32"/>
          <w:highlight w:val="none"/>
        </w:rPr>
        <w:t>规则约束</w:t>
      </w:r>
      <w:r>
        <w:rPr>
          <w:rFonts w:hint="eastAsia"/>
          <w:b w:val="0"/>
          <w:bCs w:val="0"/>
          <w:color w:val="auto"/>
          <w:szCs w:val="32"/>
          <w:highlight w:val="none"/>
        </w:rPr>
        <w:t>变强的显著特点，普遍要求建立高效、执行刚性的组织架构，确保规则制度的有效实施。各地以设立省委工作机关、法定机构等形式深化自贸试验区管理体制改革，统筹研究、协调、推动落实各项改革创新措施。相比而言，自贸试验区朝阳组团</w:t>
      </w:r>
      <w:r>
        <w:rPr>
          <w:rFonts w:hint="eastAsia"/>
          <w:strike w:val="0"/>
          <w:lang w:eastAsia="zh-CN"/>
        </w:rPr>
        <w:t>仍</w:t>
      </w:r>
      <w:r>
        <w:rPr>
          <w:rFonts w:hint="eastAsia"/>
          <w:b w:val="0"/>
          <w:bCs w:val="0"/>
          <w:color w:val="auto"/>
          <w:szCs w:val="32"/>
          <w:highlight w:val="none"/>
          <w:lang w:eastAsia="zh-CN"/>
        </w:rPr>
        <w:t>需进一步完善管理体制机制，推动</w:t>
      </w:r>
      <w:r>
        <w:rPr>
          <w:rFonts w:hint="eastAsia"/>
          <w:b w:val="0"/>
          <w:bCs w:val="0"/>
          <w:color w:val="auto"/>
          <w:szCs w:val="32"/>
          <w:highlight w:val="none"/>
        </w:rPr>
        <w:t>政策制度进一步探索创新。</w:t>
      </w:r>
    </w:p>
    <w:p w14:paraId="70FB173F">
      <w:pPr>
        <w:spacing w:line="560" w:lineRule="exact"/>
        <w:ind w:firstLine="640" w:firstLineChars="200"/>
        <w:rPr>
          <w:color w:val="auto"/>
          <w:szCs w:val="32"/>
          <w:highlight w:val="none"/>
        </w:rPr>
      </w:pPr>
      <w:r>
        <w:rPr>
          <w:rFonts w:hint="eastAsia"/>
          <w:color w:val="auto"/>
          <w:szCs w:val="32"/>
          <w:highlight w:val="none"/>
        </w:rPr>
        <w:t>综合判断，</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时期将是</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实现更高水平开放更高质量发展的重要窗口期</w:t>
      </w:r>
      <w:r>
        <w:rPr>
          <w:rFonts w:hint="eastAsia"/>
          <w:color w:val="auto"/>
          <w:szCs w:val="32"/>
          <w:highlight w:val="none"/>
          <w:lang w:eastAsia="zh-CN"/>
        </w:rPr>
        <w:t>，机遇与挑战并存。</w:t>
      </w:r>
      <w:r>
        <w:rPr>
          <w:rFonts w:hint="eastAsia"/>
          <w:color w:val="auto"/>
          <w:szCs w:val="32"/>
          <w:highlight w:val="none"/>
        </w:rPr>
        <w:t>面对纷繁复杂的国际国内形势，朝阳区要准确把握</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发展的有利条件和不利因素，紧紧抓住机遇，积极应对挑战，精准破解问题，以主动开放拓展发展空间，以制度创新提升发展动能，持续推进朝阳“两区”建设走深走实。</w:t>
      </w:r>
    </w:p>
    <w:p w14:paraId="443ABAB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19" w:name="_Toc25838"/>
      <w:bookmarkStart w:id="20" w:name="_Toc28613"/>
      <w:bookmarkStart w:id="21" w:name="_Toc15402"/>
      <w:bookmarkStart w:id="22" w:name="_Toc10879"/>
      <w:r>
        <w:rPr>
          <w:rFonts w:hint="eastAsia" w:ascii="Times New Roman" w:hAnsi="Times New Roman" w:eastAsia="黑体" w:cs="黑体"/>
          <w:color w:val="auto"/>
          <w:sz w:val="32"/>
          <w:szCs w:val="32"/>
          <w:highlight w:val="none"/>
          <w:lang w:eastAsia="zh-CN"/>
        </w:rPr>
        <w:t>第三节 指导思想</w:t>
      </w:r>
      <w:bookmarkEnd w:id="19"/>
      <w:bookmarkEnd w:id="20"/>
      <w:bookmarkEnd w:id="21"/>
      <w:bookmarkEnd w:id="22"/>
    </w:p>
    <w:p w14:paraId="277A1598">
      <w:pPr>
        <w:adjustRightInd w:val="0"/>
        <w:snapToGrid w:val="0"/>
        <w:spacing w:line="560" w:lineRule="exact"/>
        <w:ind w:firstLine="640" w:firstLineChars="200"/>
        <w:rPr>
          <w:color w:val="auto"/>
          <w:szCs w:val="32"/>
          <w:highlight w:val="none"/>
        </w:rPr>
      </w:pPr>
      <w:r>
        <w:rPr>
          <w:rFonts w:hint="eastAsia"/>
          <w:color w:val="auto"/>
          <w:szCs w:val="32"/>
          <w:highlight w:val="none"/>
          <w:lang w:val="en-US" w:eastAsia="zh-CN"/>
        </w:rPr>
        <w:t>全面贯彻</w:t>
      </w:r>
      <w:r>
        <w:rPr>
          <w:rFonts w:hint="eastAsia"/>
          <w:color w:val="auto"/>
          <w:szCs w:val="32"/>
          <w:highlight w:val="none"/>
        </w:rPr>
        <w:t>习近平新时代中国特色社会主义思想，深入贯彻党的二十大和二十届历次全会精神，深入贯彻习近平总书记考察北京重要讲话精神</w:t>
      </w:r>
      <w:r>
        <w:rPr>
          <w:rFonts w:hint="eastAsia"/>
          <w:color w:val="auto"/>
          <w:szCs w:val="32"/>
          <w:highlight w:val="none"/>
          <w:lang w:val="en-US" w:eastAsia="zh-CN"/>
        </w:rPr>
        <w:t>和关于</w:t>
      </w:r>
      <w:r>
        <w:rPr>
          <w:rFonts w:hint="eastAsia"/>
          <w:color w:val="auto"/>
          <w:szCs w:val="32"/>
          <w:highlight w:val="none"/>
        </w:rPr>
        <w:t>扩大高水平对外开放的指示部署</w:t>
      </w:r>
      <w:r>
        <w:rPr>
          <w:rFonts w:hint="eastAsia"/>
          <w:color w:val="auto"/>
          <w:szCs w:val="32"/>
          <w:highlight w:val="none"/>
          <w:lang w:eastAsia="zh-CN"/>
        </w:rPr>
        <w:t>，</w:t>
      </w:r>
      <w:r>
        <w:rPr>
          <w:rFonts w:hint="eastAsia" w:eastAsia="仿宋_GB2312"/>
          <w:color w:val="auto"/>
          <w:kern w:val="0"/>
          <w:sz w:val="32"/>
          <w:szCs w:val="36"/>
          <w:highlight w:val="none"/>
        </w:rPr>
        <w:t>完整准确全面贯彻新发展理念，坚持稳中求进工作总基调，以新时代首都发展为统领，围绕加强“四个中心”功能建设、提高“四个服务”水平，</w:t>
      </w:r>
      <w:r>
        <w:rPr>
          <w:rFonts w:hint="eastAsia"/>
          <w:color w:val="auto"/>
          <w:kern w:val="0"/>
          <w:sz w:val="32"/>
          <w:szCs w:val="36"/>
          <w:highlight w:val="none"/>
          <w:lang w:val="en-US" w:eastAsia="zh-CN"/>
        </w:rPr>
        <w:t>贯彻落实区委、区政府决策部署，</w:t>
      </w:r>
      <w:r>
        <w:rPr>
          <w:rFonts w:hint="eastAsia"/>
          <w:color w:val="auto"/>
          <w:szCs w:val="32"/>
          <w:highlight w:val="none"/>
          <w:lang w:val="en-US" w:eastAsia="zh-CN"/>
        </w:rPr>
        <w:t>围绕提升“五区”功能、建好“五宜”朝阳发展目标，立足朝阳区发展定位，</w:t>
      </w:r>
      <w:r>
        <w:rPr>
          <w:rFonts w:hint="eastAsia"/>
          <w:color w:val="auto"/>
          <w:szCs w:val="32"/>
          <w:highlight w:val="none"/>
        </w:rPr>
        <w:t>积极发挥国际化优势，以更大力度谋划和推进</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建设，进一步全面深化改革，扩大制度型开放，努力为全国提供可复制可推广的经验</w:t>
      </w:r>
      <w:r>
        <w:rPr>
          <w:rFonts w:hint="eastAsia"/>
          <w:color w:val="auto"/>
          <w:szCs w:val="32"/>
          <w:highlight w:val="none"/>
          <w:lang w:eastAsia="zh-CN"/>
        </w:rPr>
        <w:t>，</w:t>
      </w:r>
      <w:r>
        <w:rPr>
          <w:rFonts w:hint="eastAsia"/>
          <w:color w:val="auto"/>
          <w:szCs w:val="32"/>
          <w:highlight w:val="none"/>
        </w:rPr>
        <w:t>全面推进国家服务业扩大开放综合示范区建设，</w:t>
      </w:r>
      <w:r>
        <w:rPr>
          <w:rFonts w:hint="eastAsia"/>
          <w:bCs/>
          <w:color w:val="auto"/>
          <w:kern w:val="0"/>
          <w:szCs w:val="36"/>
          <w:highlight w:val="none"/>
        </w:rPr>
        <w:t>推动服务业开放提速加力，</w:t>
      </w:r>
      <w:r>
        <w:rPr>
          <w:rFonts w:hint="eastAsia"/>
          <w:color w:val="auto"/>
          <w:szCs w:val="32"/>
          <w:highlight w:val="none"/>
        </w:rPr>
        <w:t>深入实施自由贸易试验区提升战略，</w:t>
      </w:r>
      <w:r>
        <w:rPr>
          <w:rFonts w:hint="eastAsia"/>
          <w:color w:val="auto"/>
          <w:szCs w:val="32"/>
          <w:highlight w:val="none"/>
          <w:lang w:eastAsia="zh-CN"/>
        </w:rPr>
        <w:t>探索设立</w:t>
      </w:r>
      <w:r>
        <w:rPr>
          <w:rFonts w:hint="eastAsia"/>
          <w:color w:val="auto"/>
          <w:szCs w:val="32"/>
          <w:highlight w:val="none"/>
        </w:rPr>
        <w:t>自贸试验区</w:t>
      </w:r>
      <w:r>
        <w:rPr>
          <w:rFonts w:hint="eastAsia"/>
          <w:color w:val="auto"/>
          <w:szCs w:val="32"/>
          <w:highlight w:val="none"/>
          <w:lang w:eastAsia="zh-CN"/>
        </w:rPr>
        <w:t>联动发展区，</w:t>
      </w:r>
      <w:r>
        <w:rPr>
          <w:rFonts w:hint="eastAsia"/>
          <w:color w:val="auto"/>
          <w:szCs w:val="32"/>
          <w:highlight w:val="none"/>
        </w:rPr>
        <w:t>积极塑造</w:t>
      </w:r>
      <w:r>
        <w:rPr>
          <w:rFonts w:hint="eastAsia"/>
          <w:color w:val="auto"/>
          <w:szCs w:val="32"/>
          <w:highlight w:val="none"/>
          <w:lang w:eastAsia="zh-CN"/>
        </w:rPr>
        <w:t>“</w:t>
      </w:r>
      <w:r>
        <w:rPr>
          <w:rFonts w:hint="eastAsia"/>
          <w:color w:val="auto"/>
          <w:szCs w:val="32"/>
          <w:highlight w:val="none"/>
        </w:rPr>
        <w:t>数智、便利</w:t>
      </w:r>
      <w:r>
        <w:rPr>
          <w:rFonts w:hint="eastAsia"/>
          <w:color w:val="auto"/>
          <w:szCs w:val="32"/>
          <w:highlight w:val="none"/>
          <w:lang w:eastAsia="zh-CN"/>
        </w:rPr>
        <w:t>”</w:t>
      </w:r>
      <w:r>
        <w:rPr>
          <w:rFonts w:hint="eastAsia"/>
          <w:color w:val="auto"/>
          <w:szCs w:val="32"/>
          <w:highlight w:val="none"/>
        </w:rPr>
        <w:t>的</w:t>
      </w:r>
      <w:r>
        <w:rPr>
          <w:rFonts w:hint="eastAsia"/>
          <w:color w:val="auto"/>
          <w:szCs w:val="32"/>
          <w:highlight w:val="none"/>
          <w:lang w:val="en-US" w:eastAsia="zh-CN"/>
        </w:rPr>
        <w:t>朝阳组团</w:t>
      </w:r>
      <w:r>
        <w:rPr>
          <w:rFonts w:hint="eastAsia"/>
          <w:color w:val="auto"/>
          <w:szCs w:val="32"/>
          <w:highlight w:val="none"/>
        </w:rPr>
        <w:t>自贸品牌，以高水平开放为引领，以制度创新为核心，大力开展首创性、集成式探索，推动资源要素自由流动，</w:t>
      </w:r>
      <w:r>
        <w:rPr>
          <w:rFonts w:hint="eastAsia"/>
          <w:color w:val="auto"/>
          <w:szCs w:val="32"/>
          <w:highlight w:val="none"/>
          <w:lang w:val="en-US" w:eastAsia="zh-CN"/>
        </w:rPr>
        <w:t>促进全产业链创新发展，</w:t>
      </w:r>
      <w:r>
        <w:rPr>
          <w:rFonts w:hint="eastAsia"/>
          <w:color w:val="auto"/>
          <w:szCs w:val="32"/>
          <w:highlight w:val="none"/>
        </w:rPr>
        <w:t>全面提升区域制度型开放水平、系统性改革成效、开放型经济质量，为</w:t>
      </w:r>
      <w:r>
        <w:rPr>
          <w:rFonts w:hint="eastAsia"/>
          <w:color w:val="auto"/>
          <w:szCs w:val="32"/>
          <w:highlight w:val="none"/>
          <w:lang w:val="en-US" w:eastAsia="zh-CN"/>
        </w:rPr>
        <w:t>推进中国式现代化的朝阳实践</w:t>
      </w:r>
      <w:r>
        <w:rPr>
          <w:rFonts w:hint="eastAsia"/>
          <w:color w:val="auto"/>
          <w:szCs w:val="32"/>
          <w:highlight w:val="none"/>
        </w:rPr>
        <w:t>作出新贡献。</w:t>
      </w:r>
    </w:p>
    <w:p w14:paraId="3BEA9BAA">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23" w:name="_Toc7316"/>
      <w:bookmarkStart w:id="24" w:name="_Toc21637"/>
      <w:bookmarkStart w:id="25" w:name="_Toc615"/>
      <w:bookmarkStart w:id="26" w:name="_Toc19975"/>
      <w:r>
        <w:rPr>
          <w:rFonts w:hint="eastAsia" w:ascii="Times New Roman" w:hAnsi="Times New Roman" w:eastAsia="黑体" w:cs="黑体"/>
          <w:color w:val="auto"/>
          <w:sz w:val="32"/>
          <w:szCs w:val="32"/>
          <w:highlight w:val="none"/>
          <w:lang w:eastAsia="zh-CN"/>
        </w:rPr>
        <w:t>第四节 基本原则</w:t>
      </w:r>
      <w:bookmarkEnd w:id="23"/>
      <w:bookmarkEnd w:id="24"/>
      <w:bookmarkEnd w:id="25"/>
      <w:bookmarkEnd w:id="26"/>
    </w:p>
    <w:p w14:paraId="2AC33FD7">
      <w:pPr>
        <w:tabs>
          <w:tab w:val="right" w:pos="7663"/>
        </w:tabs>
        <w:adjustRightInd w:val="0"/>
        <w:snapToGrid w:val="0"/>
        <w:spacing w:line="560" w:lineRule="exact"/>
        <w:ind w:firstLine="643" w:firstLineChars="200"/>
        <w:rPr>
          <w:b/>
          <w:bCs/>
          <w:color w:val="auto"/>
          <w:szCs w:val="32"/>
          <w:highlight w:val="none"/>
        </w:rPr>
      </w:pPr>
      <w:r>
        <w:rPr>
          <w:rFonts w:hint="eastAsia"/>
          <w:b/>
          <w:bCs/>
          <w:color w:val="auto"/>
          <w:szCs w:val="32"/>
          <w:highlight w:val="none"/>
        </w:rPr>
        <w:t>坚持党的领导，确保正确方向。</w:t>
      </w:r>
      <w:r>
        <w:rPr>
          <w:rFonts w:hint="eastAsia"/>
          <w:color w:val="auto"/>
          <w:szCs w:val="32"/>
          <w:highlight w:val="none"/>
        </w:rPr>
        <w:t>坚持以习近平新时代中国特色社会主义思想指导改革开放，确保改革开放有方向、有立场、有原则。坚持和完善党对</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建设的全面领导，不断健全党领导</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建设的机制，把党的领导贯穿</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建设各方面全过程，为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建设创新提升发展提供根本保证。</w:t>
      </w:r>
    </w:p>
    <w:p w14:paraId="4A95A972">
      <w:pPr>
        <w:tabs>
          <w:tab w:val="right" w:pos="7663"/>
        </w:tabs>
        <w:adjustRightInd w:val="0"/>
        <w:snapToGrid w:val="0"/>
        <w:spacing w:line="560" w:lineRule="exact"/>
        <w:ind w:firstLine="643" w:firstLineChars="200"/>
        <w:rPr>
          <w:color w:val="auto"/>
          <w:szCs w:val="32"/>
          <w:highlight w:val="none"/>
        </w:rPr>
      </w:pPr>
      <w:r>
        <w:rPr>
          <w:rFonts w:hint="eastAsia"/>
          <w:b/>
          <w:bCs/>
          <w:color w:val="auto"/>
          <w:szCs w:val="32"/>
          <w:highlight w:val="none"/>
        </w:rPr>
        <w:t>坚持开放引领，扩大国际合作。</w:t>
      </w:r>
      <w:r>
        <w:rPr>
          <w:rFonts w:hint="eastAsia"/>
          <w:color w:val="auto"/>
          <w:szCs w:val="32"/>
          <w:highlight w:val="none"/>
        </w:rPr>
        <w:t>坚持以高水平开放为引领，积极开展</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政策先行先试，有序扩大自主开放和单边开放，推进规则、规制、管理、标准等制度型开放，提升资金、数据、劳动力等跨境流动便利，增强高端要素全球配置能力，塑造国际合作竞争新优势。</w:t>
      </w:r>
    </w:p>
    <w:p w14:paraId="56795022">
      <w:pPr>
        <w:adjustRightInd w:val="0"/>
        <w:snapToGrid w:val="0"/>
        <w:spacing w:line="560" w:lineRule="exact"/>
        <w:ind w:firstLine="643" w:firstLineChars="200"/>
        <w:rPr>
          <w:color w:val="auto"/>
          <w:szCs w:val="32"/>
          <w:highlight w:val="none"/>
        </w:rPr>
      </w:pPr>
      <w:r>
        <w:rPr>
          <w:rFonts w:hint="eastAsia"/>
          <w:b/>
          <w:bCs/>
          <w:color w:val="auto"/>
          <w:szCs w:val="32"/>
          <w:highlight w:val="none"/>
        </w:rPr>
        <w:t>坚持创新为要，全面深化改革。</w:t>
      </w:r>
      <w:r>
        <w:rPr>
          <w:rFonts w:hint="eastAsia"/>
          <w:color w:val="auto"/>
          <w:szCs w:val="32"/>
          <w:highlight w:val="none"/>
        </w:rPr>
        <w:t>坚持以制度创新为核心，对标CPTPP、DEPA等高标准经贸规则，主动对接开展试点，推动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在促进贸易投资自由便利、加强知识产权保护、</w:t>
      </w:r>
      <w:r>
        <w:rPr>
          <w:rFonts w:hint="eastAsia" w:ascii="Times New Roman" w:hAnsi="Times New Roman"/>
          <w:color w:val="auto"/>
          <w:szCs w:val="32"/>
          <w:highlight w:val="none"/>
        </w:rPr>
        <w:t>金融数字</w:t>
      </w:r>
      <w:r>
        <w:rPr>
          <w:rFonts w:hint="eastAsia" w:ascii="Times New Roman" w:hAnsi="Times New Roman"/>
          <w:color w:val="auto"/>
          <w:szCs w:val="32"/>
          <w:highlight w:val="none"/>
          <w:lang w:eastAsia="zh-CN"/>
        </w:rPr>
        <w:t>、绿色低碳</w:t>
      </w:r>
      <w:r>
        <w:rPr>
          <w:rFonts w:hint="eastAsia" w:ascii="Times New Roman" w:hAnsi="Times New Roman"/>
          <w:color w:val="auto"/>
          <w:szCs w:val="32"/>
          <w:highlight w:val="none"/>
        </w:rPr>
        <w:t>等领域开放，</w:t>
      </w:r>
      <w:r>
        <w:rPr>
          <w:rFonts w:hint="eastAsia" w:ascii="Times New Roman" w:hAnsi="Times New Roman"/>
          <w:color w:val="auto"/>
          <w:szCs w:val="32"/>
          <w:highlight w:val="none"/>
          <w:lang w:eastAsia="zh-CN"/>
        </w:rPr>
        <w:t>促进</w:t>
      </w:r>
      <w:r>
        <w:rPr>
          <w:rFonts w:hint="eastAsia" w:ascii="Times New Roman" w:hAnsi="Times New Roman"/>
          <w:color w:val="auto"/>
          <w:szCs w:val="32"/>
          <w:highlight w:val="none"/>
        </w:rPr>
        <w:t>相关领域、重点环节改革</w:t>
      </w:r>
      <w:r>
        <w:rPr>
          <w:rFonts w:hint="eastAsia" w:ascii="Times New Roman" w:hAnsi="Times New Roman"/>
          <w:color w:val="auto"/>
          <w:szCs w:val="32"/>
          <w:highlight w:val="none"/>
          <w:lang w:eastAsia="zh-CN"/>
        </w:rPr>
        <w:t>实现</w:t>
      </w:r>
      <w:r>
        <w:rPr>
          <w:rFonts w:hint="eastAsia" w:ascii="Times New Roman" w:hAnsi="Times New Roman"/>
          <w:color w:val="auto"/>
          <w:szCs w:val="32"/>
          <w:highlight w:val="none"/>
        </w:rPr>
        <w:t>突破。</w:t>
      </w:r>
    </w:p>
    <w:p w14:paraId="2D41DFF1">
      <w:pPr>
        <w:adjustRightInd w:val="0"/>
        <w:snapToGrid w:val="0"/>
        <w:spacing w:line="560" w:lineRule="exact"/>
        <w:ind w:firstLine="643" w:firstLineChars="200"/>
        <w:rPr>
          <w:b/>
          <w:bCs/>
          <w:color w:val="auto"/>
          <w:szCs w:val="32"/>
          <w:highlight w:val="none"/>
        </w:rPr>
      </w:pPr>
      <w:r>
        <w:rPr>
          <w:rFonts w:hint="eastAsia"/>
          <w:b/>
          <w:bCs/>
          <w:color w:val="auto"/>
          <w:szCs w:val="32"/>
          <w:highlight w:val="none"/>
        </w:rPr>
        <w:t>坚持协同发展，加强区域联动。</w:t>
      </w:r>
      <w:r>
        <w:rPr>
          <w:rFonts w:hint="eastAsia"/>
          <w:color w:val="auto"/>
          <w:szCs w:val="32"/>
          <w:highlight w:val="none"/>
        </w:rPr>
        <w:t>坚持立足区域特色</w:t>
      </w:r>
      <w:r>
        <w:rPr>
          <w:rFonts w:hint="eastAsia"/>
          <w:color w:val="auto"/>
          <w:szCs w:val="32"/>
          <w:highlight w:val="none"/>
          <w:lang w:eastAsia="zh-CN"/>
        </w:rPr>
        <w:t>与</w:t>
      </w:r>
      <w:r>
        <w:rPr>
          <w:rFonts w:hint="eastAsia"/>
          <w:color w:val="auto"/>
          <w:szCs w:val="32"/>
          <w:highlight w:val="none"/>
        </w:rPr>
        <w:t>服务发展大局相统筹，准确把握新时代首都发展阶段性特征，找准朝阳坐标方位，以科技、商务等优势领域为切入点深化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建设，同时推进区域协同改革开放，加强京津冀地区开放资源、创新要素、产业发展的区域联动。</w:t>
      </w:r>
    </w:p>
    <w:p w14:paraId="495DB60E">
      <w:pPr>
        <w:adjustRightInd w:val="0"/>
        <w:snapToGrid w:val="0"/>
        <w:spacing w:line="560" w:lineRule="exact"/>
        <w:ind w:firstLine="643" w:firstLineChars="200"/>
        <w:rPr>
          <w:color w:val="auto"/>
          <w:szCs w:val="32"/>
          <w:highlight w:val="none"/>
        </w:rPr>
      </w:pPr>
      <w:r>
        <w:rPr>
          <w:rFonts w:hint="eastAsia"/>
          <w:b/>
          <w:bCs/>
          <w:color w:val="auto"/>
          <w:szCs w:val="32"/>
          <w:highlight w:val="none"/>
        </w:rPr>
        <w:t>坚持底线思维，强化风险防控。</w:t>
      </w:r>
      <w:r>
        <w:rPr>
          <w:rFonts w:hint="eastAsia"/>
          <w:color w:val="auto"/>
          <w:szCs w:val="32"/>
          <w:highlight w:val="none"/>
        </w:rPr>
        <w:t>以更高标准统筹发展和安全，不断健全开放安全保障体系，为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开放创新构筑坚实的安全防线。增强开放监管能力，提高事中事后监管效能，提升跨境监管水平，有效适配发展需要。加强重点领域风险防控，有效防范、及时化解内外部风险。</w:t>
      </w:r>
    </w:p>
    <w:p w14:paraId="4C37C9A9">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27" w:name="_Toc28846"/>
      <w:bookmarkStart w:id="28" w:name="_Toc18929"/>
      <w:bookmarkStart w:id="29" w:name="_Toc25447"/>
      <w:bookmarkStart w:id="30" w:name="_Toc23571"/>
      <w:r>
        <w:rPr>
          <w:rFonts w:hint="eastAsia" w:ascii="Times New Roman" w:hAnsi="Times New Roman" w:eastAsia="黑体" w:cs="黑体"/>
          <w:color w:val="auto"/>
          <w:sz w:val="32"/>
          <w:szCs w:val="32"/>
          <w:highlight w:val="none"/>
          <w:lang w:eastAsia="zh-CN"/>
        </w:rPr>
        <w:t>第五节 发展目标</w:t>
      </w:r>
      <w:bookmarkEnd w:id="27"/>
      <w:bookmarkEnd w:id="28"/>
      <w:bookmarkEnd w:id="29"/>
      <w:bookmarkEnd w:id="30"/>
    </w:p>
    <w:p w14:paraId="09043E7D">
      <w:pPr>
        <w:adjustRightInd w:val="0"/>
        <w:snapToGrid w:val="0"/>
        <w:spacing w:line="560" w:lineRule="exact"/>
        <w:ind w:firstLine="640" w:firstLineChars="200"/>
        <w:rPr>
          <w:rFonts w:hint="eastAsia"/>
          <w:strike w:val="0"/>
          <w:color w:val="auto"/>
          <w:kern w:val="0"/>
          <w:szCs w:val="36"/>
          <w:highlight w:val="none"/>
        </w:rPr>
      </w:pPr>
      <w:r>
        <w:rPr>
          <w:rFonts w:hint="eastAsia"/>
          <w:strike w:val="0"/>
          <w:color w:val="auto"/>
          <w:kern w:val="0"/>
          <w:szCs w:val="36"/>
          <w:highlight w:val="none"/>
        </w:rPr>
        <w:t>到2030年</w:t>
      </w:r>
      <w:r>
        <w:rPr>
          <w:rFonts w:hint="eastAsia"/>
          <w:strike w:val="0"/>
          <w:color w:val="auto"/>
          <w:kern w:val="0"/>
          <w:szCs w:val="36"/>
          <w:highlight w:val="none"/>
          <w:lang w:eastAsia="zh-CN"/>
        </w:rPr>
        <w:t>“</w:t>
      </w:r>
      <w:r>
        <w:rPr>
          <w:rFonts w:hint="eastAsia"/>
          <w:strike w:val="0"/>
          <w:color w:val="auto"/>
          <w:kern w:val="0"/>
          <w:szCs w:val="36"/>
          <w:highlight w:val="none"/>
        </w:rPr>
        <w:t>两区</w:t>
      </w:r>
      <w:r>
        <w:rPr>
          <w:rFonts w:hint="eastAsia"/>
          <w:strike w:val="0"/>
          <w:color w:val="auto"/>
          <w:kern w:val="0"/>
          <w:szCs w:val="36"/>
          <w:highlight w:val="none"/>
          <w:lang w:eastAsia="zh-CN"/>
        </w:rPr>
        <w:t>”</w:t>
      </w:r>
      <w:r>
        <w:rPr>
          <w:rFonts w:hint="eastAsia"/>
          <w:strike w:val="0"/>
          <w:color w:val="auto"/>
          <w:kern w:val="0"/>
          <w:szCs w:val="36"/>
          <w:highlight w:val="none"/>
        </w:rPr>
        <w:t>建设十周年之际，实现贸易、投资、跨境资金流动、人员进出、运输来往更加自由便利和数据安全有序跨境流动，相关体制机制与国际高标准经贸规则有效衔接，商务、科技两大领域国际化发展水平显著提升，</w:t>
      </w:r>
      <w:r>
        <w:rPr>
          <w:rFonts w:hint="eastAsia" w:cs="Times New Roman"/>
          <w:strike w:val="0"/>
          <w:color w:val="auto"/>
          <w:kern w:val="0"/>
          <w:sz w:val="32"/>
          <w:szCs w:val="36"/>
          <w:highlight w:val="none"/>
          <w:lang w:val="en-US" w:eastAsia="zh-CN" w:bidi="ar"/>
        </w:rPr>
        <w:t>扩大</w:t>
      </w:r>
      <w:r>
        <w:rPr>
          <w:rFonts w:hint="eastAsia" w:ascii="Times New Roman" w:hAnsi="Times New Roman" w:eastAsia="仿宋_GB2312" w:cs="Times New Roman"/>
          <w:strike w:val="0"/>
          <w:color w:val="auto"/>
          <w:kern w:val="0"/>
          <w:sz w:val="32"/>
          <w:szCs w:val="36"/>
          <w:highlight w:val="none"/>
          <w:lang w:val="en-US" w:eastAsia="zh-CN" w:bidi="ar"/>
        </w:rPr>
        <w:t>“与世界共朝阳”的品牌</w:t>
      </w:r>
      <w:r>
        <w:rPr>
          <w:rFonts w:hint="eastAsia" w:cs="Times New Roman"/>
          <w:strike w:val="0"/>
          <w:color w:val="auto"/>
          <w:kern w:val="0"/>
          <w:sz w:val="32"/>
          <w:szCs w:val="36"/>
          <w:highlight w:val="none"/>
          <w:lang w:val="en-US" w:eastAsia="zh-CN" w:bidi="ar"/>
        </w:rPr>
        <w:t>影响力，</w:t>
      </w:r>
      <w:r>
        <w:rPr>
          <w:rFonts w:hint="eastAsia"/>
          <w:strike w:val="0"/>
          <w:color w:val="auto"/>
          <w:kern w:val="0"/>
          <w:szCs w:val="36"/>
          <w:highlight w:val="none"/>
        </w:rPr>
        <w:t>成为首都高水平对外开放样板和新质生产力发展引擎</w:t>
      </w:r>
      <w:r>
        <w:rPr>
          <w:rFonts w:hint="eastAsia" w:ascii="Times New Roman" w:hAnsi="Times New Roman" w:eastAsia="仿宋_GB2312" w:cs="Times New Roman"/>
          <w:strike w:val="0"/>
          <w:color w:val="auto"/>
          <w:kern w:val="0"/>
          <w:sz w:val="32"/>
          <w:szCs w:val="36"/>
          <w:highlight w:val="none"/>
          <w:lang w:val="en-US" w:eastAsia="zh-CN" w:bidi="ar"/>
        </w:rPr>
        <w:t>。</w:t>
      </w:r>
    </w:p>
    <w:p w14:paraId="6F96EACC">
      <w:pPr>
        <w:adjustRightInd w:val="0"/>
        <w:snapToGrid w:val="0"/>
        <w:spacing w:line="560" w:lineRule="exact"/>
        <w:ind w:firstLine="643" w:firstLineChars="200"/>
        <w:rPr>
          <w:color w:val="auto"/>
          <w:szCs w:val="32"/>
          <w:highlight w:val="none"/>
        </w:rPr>
      </w:pPr>
      <w:r>
        <w:rPr>
          <w:rFonts w:hint="eastAsia"/>
          <w:b/>
          <w:bCs/>
          <w:color w:val="auto"/>
          <w:szCs w:val="32"/>
          <w:highlight w:val="none"/>
        </w:rPr>
        <w:t>——制度创新高地作用更加凸显。</w:t>
      </w:r>
      <w:r>
        <w:rPr>
          <w:rFonts w:hint="eastAsia"/>
          <w:color w:val="auto"/>
          <w:szCs w:val="32"/>
          <w:highlight w:val="none"/>
        </w:rPr>
        <w:t>负责实施的各类先行先试任务高质量完成，争取更多政策试点示范工作率先落地朝阳。推动一批</w:t>
      </w:r>
      <w:r>
        <w:rPr>
          <w:rFonts w:hint="eastAsia"/>
          <w:color w:val="auto"/>
          <w:szCs w:val="32"/>
          <w:highlight w:val="none"/>
          <w:lang w:eastAsia="zh-CN"/>
        </w:rPr>
        <w:t>“</w:t>
      </w:r>
      <w:r>
        <w:rPr>
          <w:rFonts w:hint="eastAsia"/>
          <w:color w:val="auto"/>
          <w:szCs w:val="32"/>
          <w:highlight w:val="none"/>
        </w:rPr>
        <w:t>朝阳建议</w:t>
      </w:r>
      <w:r>
        <w:rPr>
          <w:rFonts w:hint="eastAsia"/>
          <w:color w:val="auto"/>
          <w:szCs w:val="32"/>
          <w:highlight w:val="none"/>
          <w:lang w:eastAsia="zh-CN"/>
        </w:rPr>
        <w:t>”</w:t>
      </w:r>
      <w:r>
        <w:rPr>
          <w:rFonts w:hint="eastAsia"/>
          <w:color w:val="auto"/>
          <w:szCs w:val="32"/>
          <w:highlight w:val="none"/>
        </w:rPr>
        <w:t>纳入国家和北京市改革开放政策，一批</w:t>
      </w:r>
      <w:r>
        <w:rPr>
          <w:rFonts w:hint="eastAsia"/>
          <w:color w:val="auto"/>
          <w:szCs w:val="32"/>
          <w:highlight w:val="none"/>
          <w:lang w:eastAsia="zh-CN"/>
        </w:rPr>
        <w:t>“</w:t>
      </w:r>
      <w:r>
        <w:rPr>
          <w:rFonts w:hint="eastAsia"/>
          <w:color w:val="auto"/>
          <w:szCs w:val="32"/>
          <w:highlight w:val="none"/>
        </w:rPr>
        <w:t>朝阳案例</w:t>
      </w:r>
      <w:r>
        <w:rPr>
          <w:rFonts w:hint="eastAsia"/>
          <w:color w:val="auto"/>
          <w:szCs w:val="32"/>
          <w:highlight w:val="none"/>
          <w:lang w:eastAsia="zh-CN"/>
        </w:rPr>
        <w:t>”</w:t>
      </w:r>
      <w:r>
        <w:rPr>
          <w:rFonts w:hint="eastAsia"/>
          <w:color w:val="auto"/>
          <w:szCs w:val="32"/>
          <w:highlight w:val="none"/>
        </w:rPr>
        <w:t>纳入各领域复制推广案例及最佳实践。在北京市</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工作相关评估评价中继续保持领先水平。</w:t>
      </w:r>
    </w:p>
    <w:p w14:paraId="38526AF3">
      <w:pPr>
        <w:adjustRightInd w:val="0"/>
        <w:snapToGrid w:val="0"/>
        <w:spacing w:line="560" w:lineRule="exact"/>
        <w:ind w:firstLine="643" w:firstLineChars="200"/>
        <w:rPr>
          <w:color w:val="auto"/>
          <w:szCs w:val="32"/>
          <w:highlight w:val="none"/>
        </w:rPr>
      </w:pPr>
      <w:r>
        <w:rPr>
          <w:rFonts w:hint="eastAsia"/>
          <w:b/>
          <w:bCs/>
          <w:color w:val="auto"/>
          <w:szCs w:val="32"/>
          <w:highlight w:val="none"/>
        </w:rPr>
        <w:t>——对外开放总体实力更加突出。</w:t>
      </w:r>
      <w:r>
        <w:rPr>
          <w:rFonts w:hint="eastAsia"/>
          <w:color w:val="auto"/>
          <w:szCs w:val="32"/>
          <w:highlight w:val="none"/>
        </w:rPr>
        <w:t>开放型经济水平不断提高，贸易投资继续位居全市前列。贸易规模稳定、结构优化，货物进出口占全市比重保持平稳，服务进出口进一步扩大。引资力度不减、实效提升，力争</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”招商引资</w:t>
      </w:r>
      <w:r>
        <w:rPr>
          <w:rFonts w:hint="eastAsia"/>
          <w:color w:val="auto"/>
          <w:szCs w:val="32"/>
          <w:highlight w:val="none"/>
        </w:rPr>
        <w:t>入库项目数量</w:t>
      </w:r>
      <w:r>
        <w:rPr>
          <w:rFonts w:hint="eastAsia"/>
          <w:color w:val="auto"/>
          <w:szCs w:val="32"/>
          <w:highlight w:val="none"/>
          <w:lang w:eastAsia="zh-CN"/>
        </w:rPr>
        <w:t>稳步增长，新设外商投资企业数量进一步提升</w:t>
      </w:r>
      <w:r>
        <w:rPr>
          <w:rFonts w:hint="eastAsia"/>
          <w:color w:val="auto"/>
          <w:szCs w:val="32"/>
          <w:highlight w:val="none"/>
        </w:rPr>
        <w:t>。</w:t>
      </w:r>
    </w:p>
    <w:p w14:paraId="43FCCD88">
      <w:pPr>
        <w:spacing w:line="560" w:lineRule="exact"/>
        <w:ind w:firstLine="643" w:firstLineChars="200"/>
        <w:rPr>
          <w:color w:val="auto"/>
          <w:szCs w:val="32"/>
          <w:highlight w:val="none"/>
        </w:rPr>
      </w:pPr>
      <w:r>
        <w:rPr>
          <w:rFonts w:hint="eastAsia"/>
          <w:b/>
          <w:bCs/>
          <w:color w:val="auto"/>
          <w:szCs w:val="32"/>
          <w:highlight w:val="none"/>
        </w:rPr>
        <w:t>——国际要素集聚优势更加显著。</w:t>
      </w:r>
      <w:r>
        <w:rPr>
          <w:rFonts w:hint="eastAsia"/>
          <w:color w:val="auto"/>
          <w:szCs w:val="32"/>
          <w:highlight w:val="none"/>
        </w:rPr>
        <w:t>跨国公司地区总部能级提升，国际组织和外国商协会等机构加快集聚，外籍人员生活工作便利化水平持续提升。涉外法律、金融、人才等资源进一步整合汇集。国际化政务服务水平进一步提高，营商环境在全国、全球竞争力不断增强。</w:t>
      </w:r>
    </w:p>
    <w:p w14:paraId="2A6D6AB6">
      <w:pPr>
        <w:spacing w:after="218" w:afterLines="50" w:line="560" w:lineRule="exact"/>
        <w:ind w:firstLine="643" w:firstLineChars="200"/>
        <w:rPr>
          <w:color w:val="auto"/>
          <w:szCs w:val="32"/>
          <w:highlight w:val="none"/>
        </w:rPr>
      </w:pPr>
      <w:r>
        <w:rPr>
          <w:rFonts w:hint="eastAsia"/>
          <w:b/>
          <w:bCs/>
          <w:color w:val="auto"/>
          <w:szCs w:val="32"/>
          <w:highlight w:val="none"/>
        </w:rPr>
        <w:t>——重点领域发展动能更加强劲。</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与商务、科技、文创等各类重点园区联动发展，与</w:t>
      </w:r>
      <w:r>
        <w:rPr>
          <w:rFonts w:hint="eastAsia"/>
          <w:color w:val="auto"/>
          <w:szCs w:val="32"/>
          <w:highlight w:val="none"/>
          <w:lang w:eastAsia="zh-CN"/>
        </w:rPr>
        <w:t>共建“</w:t>
      </w:r>
      <w:r>
        <w:rPr>
          <w:rFonts w:hint="eastAsia"/>
          <w:color w:val="auto"/>
          <w:szCs w:val="32"/>
          <w:highlight w:val="none"/>
        </w:rPr>
        <w:t>一带一路</w:t>
      </w:r>
      <w:r>
        <w:rPr>
          <w:rFonts w:hint="eastAsia"/>
          <w:color w:val="auto"/>
          <w:szCs w:val="32"/>
          <w:highlight w:val="none"/>
          <w:lang w:eastAsia="zh-CN"/>
        </w:rPr>
        <w:t>”国家</w:t>
      </w:r>
      <w:r>
        <w:rPr>
          <w:rFonts w:hint="eastAsia"/>
          <w:color w:val="auto"/>
          <w:szCs w:val="32"/>
          <w:highlight w:val="none"/>
        </w:rPr>
        <w:t>、京津冀</w:t>
      </w:r>
      <w:r>
        <w:rPr>
          <w:rFonts w:hint="eastAsia"/>
          <w:color w:val="auto"/>
          <w:szCs w:val="32"/>
          <w:highlight w:val="none"/>
          <w:lang w:eastAsia="zh-CN"/>
        </w:rPr>
        <w:t>协同发展</w:t>
      </w:r>
      <w:r>
        <w:rPr>
          <w:rFonts w:hint="eastAsia"/>
          <w:color w:val="auto"/>
          <w:szCs w:val="32"/>
          <w:highlight w:val="none"/>
        </w:rPr>
        <w:t>等国家战略加强对接。以入境消费便利化改革</w:t>
      </w:r>
      <w:r>
        <w:rPr>
          <w:rFonts w:hint="eastAsia"/>
          <w:color w:val="auto"/>
          <w:szCs w:val="32"/>
          <w:highlight w:val="none"/>
          <w:lang w:eastAsia="zh-CN"/>
        </w:rPr>
        <w:t>提升</w:t>
      </w:r>
      <w:r>
        <w:rPr>
          <w:rFonts w:hint="eastAsia"/>
          <w:color w:val="auto"/>
          <w:szCs w:val="32"/>
          <w:highlight w:val="none"/>
        </w:rPr>
        <w:t>国际消费中心城市主承载区</w:t>
      </w:r>
      <w:r>
        <w:rPr>
          <w:rFonts w:hint="eastAsia"/>
          <w:color w:val="auto"/>
          <w:szCs w:val="32"/>
          <w:highlight w:val="none"/>
          <w:lang w:eastAsia="zh-CN"/>
        </w:rPr>
        <w:t>功能</w:t>
      </w:r>
      <w:r>
        <w:rPr>
          <w:rFonts w:hint="eastAsia"/>
          <w:color w:val="auto"/>
          <w:szCs w:val="32"/>
          <w:highlight w:val="none"/>
        </w:rPr>
        <w:t>，以数字贸易</w:t>
      </w:r>
      <w:r>
        <w:rPr>
          <w:rFonts w:hint="eastAsia"/>
          <w:color w:val="auto"/>
          <w:szCs w:val="32"/>
          <w:highlight w:val="none"/>
          <w:lang w:val="en-US" w:eastAsia="zh-CN"/>
        </w:rPr>
        <w:t>产业集群培育</w:t>
      </w:r>
      <w:r>
        <w:rPr>
          <w:rFonts w:hint="eastAsia"/>
          <w:color w:val="auto"/>
          <w:szCs w:val="32"/>
          <w:highlight w:val="none"/>
          <w:lang w:eastAsia="zh-CN"/>
        </w:rPr>
        <w:t>推动</w:t>
      </w:r>
      <w:r>
        <w:rPr>
          <w:rFonts w:hint="eastAsia"/>
          <w:color w:val="auto"/>
          <w:szCs w:val="32"/>
          <w:highlight w:val="none"/>
        </w:rPr>
        <w:t>数字</w:t>
      </w:r>
      <w:r>
        <w:rPr>
          <w:rFonts w:hint="default"/>
          <w:color w:val="auto"/>
          <w:szCs w:val="32"/>
          <w:highlight w:val="none"/>
          <w:lang w:val="en-US"/>
        </w:rPr>
        <w:t>贸易</w:t>
      </w:r>
      <w:r>
        <w:rPr>
          <w:rFonts w:hint="eastAsia"/>
          <w:color w:val="auto"/>
          <w:szCs w:val="32"/>
          <w:highlight w:val="none"/>
        </w:rPr>
        <w:t>创新发展。在电信、医疗、文化、教育等领域试点实施更多开放举措，带动全产业链集成创新发展。</w:t>
      </w:r>
    </w:p>
    <w:tbl>
      <w:tblPr>
        <w:tblStyle w:val="29"/>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996"/>
        <w:gridCol w:w="4443"/>
        <w:gridCol w:w="1216"/>
        <w:gridCol w:w="1117"/>
        <w:gridCol w:w="1085"/>
      </w:tblGrid>
      <w:tr w14:paraId="23EB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9419" w:type="dxa"/>
            <w:gridSpan w:val="6"/>
            <w:vAlign w:val="center"/>
          </w:tcPr>
          <w:p w14:paraId="7BBEF27D">
            <w:pPr>
              <w:pStyle w:val="36"/>
              <w:spacing w:before="218" w:beforeLines="50" w:after="218" w:afterLines="50" w:line="240" w:lineRule="auto"/>
              <w:rPr>
                <w:rFonts w:hint="default"/>
                <w:b/>
                <w:color w:val="auto"/>
                <w:highlight w:val="none"/>
              </w:rPr>
            </w:pPr>
            <w:bookmarkStart w:id="31" w:name="_Toc19723"/>
            <w:bookmarkStart w:id="32" w:name="_Toc10433"/>
            <w:bookmarkStart w:id="33" w:name="_Toc13068"/>
            <w:bookmarkStart w:id="34" w:name="_Toc2401"/>
            <w:r>
              <w:rPr>
                <w:color w:val="auto"/>
                <w:highlight w:val="none"/>
              </w:rPr>
              <w:t xml:space="preserve">专栏1 </w:t>
            </w:r>
            <w:r>
              <w:rPr>
                <w:rFonts w:hint="eastAsia"/>
                <w:color w:val="auto"/>
                <w:highlight w:val="none"/>
                <w:lang w:eastAsia="zh-CN"/>
              </w:rPr>
              <w:t>“</w:t>
            </w:r>
            <w:r>
              <w:rPr>
                <w:color w:val="auto"/>
                <w:highlight w:val="none"/>
              </w:rPr>
              <w:t>十五五</w:t>
            </w:r>
            <w:r>
              <w:rPr>
                <w:rFonts w:hint="eastAsia"/>
                <w:color w:val="auto"/>
                <w:highlight w:val="none"/>
                <w:lang w:eastAsia="zh-CN"/>
              </w:rPr>
              <w:t>”</w:t>
            </w:r>
            <w:r>
              <w:rPr>
                <w:color w:val="auto"/>
                <w:highlight w:val="none"/>
              </w:rPr>
              <w:t>时期朝阳区</w:t>
            </w:r>
            <w:r>
              <w:rPr>
                <w:rFonts w:hint="eastAsia"/>
                <w:color w:val="auto"/>
                <w:highlight w:val="none"/>
                <w:lang w:eastAsia="zh-CN"/>
              </w:rPr>
              <w:t>“</w:t>
            </w:r>
            <w:r>
              <w:rPr>
                <w:color w:val="auto"/>
                <w:highlight w:val="none"/>
              </w:rPr>
              <w:t>两区</w:t>
            </w:r>
            <w:r>
              <w:rPr>
                <w:rFonts w:hint="eastAsia"/>
                <w:color w:val="auto"/>
                <w:highlight w:val="none"/>
                <w:lang w:eastAsia="zh-CN"/>
              </w:rPr>
              <w:t>”</w:t>
            </w:r>
            <w:r>
              <w:rPr>
                <w:color w:val="auto"/>
                <w:highlight w:val="none"/>
              </w:rPr>
              <w:t>建设主要指标</w:t>
            </w:r>
            <w:bookmarkEnd w:id="31"/>
            <w:bookmarkEnd w:id="32"/>
            <w:bookmarkEnd w:id="33"/>
            <w:bookmarkEnd w:id="34"/>
          </w:p>
        </w:tc>
      </w:tr>
      <w:tr w14:paraId="7ECF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2" w:type="dxa"/>
            <w:vAlign w:val="center"/>
          </w:tcPr>
          <w:p w14:paraId="1401A5A4">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序号</w:t>
            </w:r>
          </w:p>
        </w:tc>
        <w:tc>
          <w:tcPr>
            <w:tcW w:w="5439" w:type="dxa"/>
            <w:gridSpan w:val="2"/>
            <w:vAlign w:val="center"/>
          </w:tcPr>
          <w:p w14:paraId="226E9B3C">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指标名称</w:t>
            </w:r>
          </w:p>
        </w:tc>
        <w:tc>
          <w:tcPr>
            <w:tcW w:w="1216" w:type="dxa"/>
            <w:vAlign w:val="center"/>
          </w:tcPr>
          <w:p w14:paraId="13174C1F">
            <w:pPr>
              <w:adjustRightInd w:val="0"/>
              <w:snapToGrid w:val="0"/>
              <w:spacing w:after="0" w:line="380" w:lineRule="exact"/>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202</w:t>
            </w:r>
            <w:r>
              <w:rPr>
                <w:rFonts w:hint="eastAsia" w:ascii="黑体" w:hAnsi="黑体" w:eastAsia="黑体" w:cs="黑体"/>
                <w:b w:val="0"/>
                <w:bCs w:val="0"/>
                <w:color w:val="auto"/>
                <w:kern w:val="0"/>
                <w:sz w:val="24"/>
                <w:szCs w:val="24"/>
                <w:highlight w:val="none"/>
                <w:lang w:val="en-US" w:eastAsia="zh-CN"/>
              </w:rPr>
              <w:t>5</w:t>
            </w:r>
            <w:r>
              <w:rPr>
                <w:rFonts w:hint="eastAsia" w:ascii="黑体" w:hAnsi="黑体" w:eastAsia="黑体" w:cs="黑体"/>
                <w:b w:val="0"/>
                <w:bCs w:val="0"/>
                <w:color w:val="auto"/>
                <w:kern w:val="0"/>
                <w:sz w:val="24"/>
                <w:szCs w:val="24"/>
                <w:highlight w:val="none"/>
              </w:rPr>
              <w:t>年现状值</w:t>
            </w:r>
          </w:p>
        </w:tc>
        <w:tc>
          <w:tcPr>
            <w:tcW w:w="1117" w:type="dxa"/>
            <w:vAlign w:val="center"/>
          </w:tcPr>
          <w:p w14:paraId="74CAD93E">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2030年</w:t>
            </w:r>
          </w:p>
          <w:p w14:paraId="27715140">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目标值</w:t>
            </w:r>
          </w:p>
        </w:tc>
        <w:tc>
          <w:tcPr>
            <w:tcW w:w="1085" w:type="dxa"/>
            <w:vAlign w:val="center"/>
          </w:tcPr>
          <w:p w14:paraId="26C85AC4">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指标</w:t>
            </w:r>
          </w:p>
          <w:p w14:paraId="61838EAB">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属性</w:t>
            </w:r>
          </w:p>
        </w:tc>
      </w:tr>
      <w:tr w14:paraId="5915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7BB66862">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1</w:t>
            </w:r>
          </w:p>
        </w:tc>
        <w:tc>
          <w:tcPr>
            <w:tcW w:w="996" w:type="dxa"/>
            <w:vMerge w:val="restart"/>
            <w:tcMar>
              <w:top w:w="0" w:type="dxa"/>
              <w:left w:w="57" w:type="dxa"/>
              <w:bottom w:w="0" w:type="dxa"/>
              <w:right w:w="57" w:type="dxa"/>
            </w:tcMar>
            <w:vAlign w:val="center"/>
          </w:tcPr>
          <w:p w14:paraId="2BC936B4">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制度</w:t>
            </w:r>
          </w:p>
          <w:p w14:paraId="7AD0E529">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创新</w:t>
            </w:r>
          </w:p>
          <w:p w14:paraId="0DD8432D">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成果</w:t>
            </w:r>
          </w:p>
        </w:tc>
        <w:tc>
          <w:tcPr>
            <w:tcW w:w="4443" w:type="dxa"/>
            <w:vAlign w:val="center"/>
          </w:tcPr>
          <w:p w14:paraId="5C093010">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lang w:eastAsia="zh"/>
              </w:rPr>
              <w:t>累计形成制度</w:t>
            </w:r>
            <w:r>
              <w:rPr>
                <w:rFonts w:hint="default"/>
                <w:color w:val="auto"/>
                <w:kern w:val="0"/>
                <w:sz w:val="24"/>
                <w:szCs w:val="24"/>
                <w:highlight w:val="none"/>
                <w:lang w:eastAsia="zh-CN"/>
              </w:rPr>
              <w:t>创新</w:t>
            </w:r>
            <w:r>
              <w:rPr>
                <w:rFonts w:hint="default"/>
                <w:color w:val="auto"/>
                <w:kern w:val="0"/>
                <w:sz w:val="24"/>
                <w:szCs w:val="24"/>
                <w:highlight w:val="none"/>
              </w:rPr>
              <w:t>案例数量（个、期末累计）</w:t>
            </w:r>
          </w:p>
        </w:tc>
        <w:tc>
          <w:tcPr>
            <w:tcW w:w="1216" w:type="dxa"/>
            <w:vAlign w:val="center"/>
          </w:tcPr>
          <w:p w14:paraId="2ADDE047">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89</w:t>
            </w:r>
          </w:p>
        </w:tc>
        <w:tc>
          <w:tcPr>
            <w:tcW w:w="1117" w:type="dxa"/>
            <w:vAlign w:val="center"/>
          </w:tcPr>
          <w:p w14:paraId="38EA5ED6">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120</w:t>
            </w:r>
          </w:p>
        </w:tc>
        <w:tc>
          <w:tcPr>
            <w:tcW w:w="1085" w:type="dxa"/>
            <w:vAlign w:val="center"/>
          </w:tcPr>
          <w:p w14:paraId="2D83692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4341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1E79E7B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w:t>
            </w:r>
          </w:p>
        </w:tc>
        <w:tc>
          <w:tcPr>
            <w:tcW w:w="996" w:type="dxa"/>
            <w:vMerge w:val="continue"/>
            <w:tcMar>
              <w:top w:w="0" w:type="dxa"/>
              <w:left w:w="57" w:type="dxa"/>
              <w:bottom w:w="0" w:type="dxa"/>
              <w:right w:w="57" w:type="dxa"/>
            </w:tcMar>
            <w:vAlign w:val="center"/>
          </w:tcPr>
          <w:p w14:paraId="3775D518">
            <w:pPr>
              <w:adjustRightInd w:val="0"/>
              <w:snapToGrid w:val="0"/>
              <w:spacing w:after="0" w:line="380" w:lineRule="exact"/>
              <w:jc w:val="center"/>
              <w:rPr>
                <w:color w:val="auto"/>
                <w:kern w:val="0"/>
                <w:sz w:val="24"/>
                <w:szCs w:val="24"/>
                <w:highlight w:val="none"/>
              </w:rPr>
            </w:pPr>
          </w:p>
        </w:tc>
        <w:tc>
          <w:tcPr>
            <w:tcW w:w="4443" w:type="dxa"/>
            <w:vAlign w:val="center"/>
          </w:tcPr>
          <w:p w14:paraId="3C9DC217">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全国复制推广案例数量（个、期末累计）</w:t>
            </w:r>
          </w:p>
        </w:tc>
        <w:tc>
          <w:tcPr>
            <w:tcW w:w="1216" w:type="dxa"/>
            <w:vAlign w:val="center"/>
          </w:tcPr>
          <w:p w14:paraId="05E96661">
            <w:pPr>
              <w:adjustRightInd w:val="0"/>
              <w:snapToGrid w:val="0"/>
              <w:spacing w:after="0" w:line="380" w:lineRule="exact"/>
              <w:jc w:val="center"/>
              <w:rPr>
                <w:rFonts w:hint="default" w:eastAsia="仿宋_GB2312"/>
                <w:color w:val="auto"/>
                <w:kern w:val="0"/>
                <w:sz w:val="24"/>
                <w:szCs w:val="24"/>
                <w:highlight w:val="none"/>
                <w:lang w:eastAsia="zh-CN"/>
              </w:rPr>
            </w:pPr>
            <w:r>
              <w:rPr>
                <w:rFonts w:hint="default"/>
                <w:color w:val="auto"/>
                <w:kern w:val="0"/>
                <w:sz w:val="24"/>
                <w:szCs w:val="24"/>
                <w:highlight w:val="none"/>
              </w:rPr>
              <w:t>1</w:t>
            </w:r>
            <w:r>
              <w:rPr>
                <w:rFonts w:hint="default"/>
                <w:color w:val="auto"/>
                <w:kern w:val="0"/>
                <w:sz w:val="24"/>
                <w:szCs w:val="24"/>
                <w:highlight w:val="none"/>
                <w:lang w:val="en-US" w:eastAsia="zh-CN"/>
              </w:rPr>
              <w:t>5</w:t>
            </w:r>
          </w:p>
        </w:tc>
        <w:tc>
          <w:tcPr>
            <w:tcW w:w="1117" w:type="dxa"/>
            <w:vAlign w:val="center"/>
          </w:tcPr>
          <w:p w14:paraId="6BF13BF9">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20</w:t>
            </w:r>
          </w:p>
        </w:tc>
        <w:tc>
          <w:tcPr>
            <w:tcW w:w="1085" w:type="dxa"/>
            <w:vAlign w:val="center"/>
          </w:tcPr>
          <w:p w14:paraId="6584B20B">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27C0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0CA96D9B">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3</w:t>
            </w:r>
          </w:p>
        </w:tc>
        <w:tc>
          <w:tcPr>
            <w:tcW w:w="996" w:type="dxa"/>
            <w:vMerge w:val="continue"/>
            <w:tcMar>
              <w:top w:w="0" w:type="dxa"/>
              <w:left w:w="57" w:type="dxa"/>
              <w:bottom w:w="0" w:type="dxa"/>
              <w:right w:w="57" w:type="dxa"/>
            </w:tcMar>
            <w:vAlign w:val="center"/>
          </w:tcPr>
          <w:p w14:paraId="5E96E5FD">
            <w:pPr>
              <w:adjustRightInd w:val="0"/>
              <w:snapToGrid w:val="0"/>
              <w:spacing w:after="0" w:line="380" w:lineRule="exact"/>
              <w:jc w:val="center"/>
              <w:rPr>
                <w:color w:val="auto"/>
                <w:kern w:val="0"/>
                <w:sz w:val="24"/>
                <w:szCs w:val="24"/>
                <w:highlight w:val="none"/>
              </w:rPr>
            </w:pPr>
          </w:p>
        </w:tc>
        <w:tc>
          <w:tcPr>
            <w:tcW w:w="4443" w:type="dxa"/>
            <w:vAlign w:val="center"/>
          </w:tcPr>
          <w:p w14:paraId="32D05991">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全市复制推广案例数量（个、期末累计）</w:t>
            </w:r>
          </w:p>
        </w:tc>
        <w:tc>
          <w:tcPr>
            <w:tcW w:w="1216" w:type="dxa"/>
            <w:vAlign w:val="center"/>
          </w:tcPr>
          <w:p w14:paraId="36218219">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14</w:t>
            </w:r>
          </w:p>
        </w:tc>
        <w:tc>
          <w:tcPr>
            <w:tcW w:w="1117" w:type="dxa"/>
            <w:vAlign w:val="center"/>
          </w:tcPr>
          <w:p w14:paraId="089581F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20</w:t>
            </w:r>
          </w:p>
        </w:tc>
        <w:tc>
          <w:tcPr>
            <w:tcW w:w="1085" w:type="dxa"/>
            <w:vAlign w:val="center"/>
          </w:tcPr>
          <w:p w14:paraId="118226BC">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3CCB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5F776255">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4</w:t>
            </w:r>
          </w:p>
        </w:tc>
        <w:tc>
          <w:tcPr>
            <w:tcW w:w="996" w:type="dxa"/>
            <w:vMerge w:val="restart"/>
            <w:tcMar>
              <w:top w:w="0" w:type="dxa"/>
              <w:left w:w="57" w:type="dxa"/>
              <w:bottom w:w="0" w:type="dxa"/>
              <w:right w:w="57" w:type="dxa"/>
            </w:tcMar>
            <w:vAlign w:val="center"/>
          </w:tcPr>
          <w:p w14:paraId="276F0CF4">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开放型经济</w:t>
            </w:r>
          </w:p>
          <w:p w14:paraId="1C19A6E3">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水平</w:t>
            </w:r>
          </w:p>
        </w:tc>
        <w:tc>
          <w:tcPr>
            <w:tcW w:w="4443" w:type="dxa"/>
            <w:vAlign w:val="center"/>
          </w:tcPr>
          <w:p w14:paraId="285D184D">
            <w:pPr>
              <w:adjustRightInd w:val="0"/>
              <w:snapToGrid w:val="0"/>
              <w:spacing w:after="0" w:line="380" w:lineRule="exact"/>
              <w:jc w:val="left"/>
              <w:rPr>
                <w:color w:val="auto"/>
                <w:kern w:val="0"/>
                <w:sz w:val="24"/>
                <w:szCs w:val="24"/>
                <w:highlight w:val="none"/>
                <w:lang w:eastAsia="zh"/>
              </w:rPr>
            </w:pPr>
            <w:r>
              <w:rPr>
                <w:rFonts w:hint="default"/>
                <w:color w:val="auto"/>
                <w:kern w:val="0"/>
                <w:sz w:val="24"/>
                <w:szCs w:val="24"/>
                <w:highlight w:val="none"/>
              </w:rPr>
              <w:t>实际利用外资</w:t>
            </w:r>
            <w:r>
              <w:rPr>
                <w:rFonts w:hint="default"/>
                <w:color w:val="auto"/>
                <w:kern w:val="0"/>
                <w:sz w:val="24"/>
                <w:szCs w:val="24"/>
                <w:highlight w:val="none"/>
                <w:lang w:eastAsia="zh-CN"/>
              </w:rPr>
              <w:t>规模</w:t>
            </w:r>
            <w:r>
              <w:rPr>
                <w:rFonts w:hint="default"/>
                <w:color w:val="auto"/>
                <w:kern w:val="0"/>
                <w:sz w:val="24"/>
                <w:szCs w:val="24"/>
                <w:highlight w:val="none"/>
                <w:lang w:eastAsia="zh"/>
              </w:rPr>
              <w:t>（亿美元，期末</w:t>
            </w:r>
            <w:r>
              <w:rPr>
                <w:rFonts w:hint="default"/>
                <w:color w:val="auto"/>
                <w:kern w:val="0"/>
                <w:sz w:val="24"/>
                <w:szCs w:val="24"/>
                <w:highlight w:val="none"/>
                <w:lang w:eastAsia="zh-CN"/>
              </w:rPr>
              <w:t>值</w:t>
            </w:r>
            <w:r>
              <w:rPr>
                <w:rFonts w:hint="default"/>
                <w:color w:val="auto"/>
                <w:kern w:val="0"/>
                <w:sz w:val="24"/>
                <w:szCs w:val="24"/>
                <w:highlight w:val="none"/>
                <w:lang w:eastAsia="zh"/>
              </w:rPr>
              <w:t>）</w:t>
            </w:r>
            <w:r>
              <w:rPr>
                <w:rFonts w:hint="default" w:ascii="Times New Roman" w:hAnsi="Times New Roman" w:eastAsia="仿宋_GB2312" w:cs="Times New Roman"/>
                <w:color w:val="auto"/>
                <w:sz w:val="24"/>
                <w:szCs w:val="24"/>
                <w:highlight w:val="none"/>
              </w:rPr>
              <w:t>◆</w:t>
            </w:r>
            <w:r>
              <w:rPr>
                <w:rStyle w:val="34"/>
                <w:rFonts w:hint="default" w:ascii="Times New Roman" w:hAnsi="Times New Roman" w:eastAsia="仿宋_GB2312" w:cs="Times New Roman"/>
                <w:color w:val="auto"/>
                <w:sz w:val="24"/>
                <w:szCs w:val="24"/>
                <w:highlight w:val="none"/>
              </w:rPr>
              <w:footnoteReference w:id="2"/>
            </w:r>
          </w:p>
        </w:tc>
        <w:tc>
          <w:tcPr>
            <w:tcW w:w="1216" w:type="dxa"/>
            <w:vAlign w:val="center"/>
          </w:tcPr>
          <w:p w14:paraId="310F74A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lang w:val="en-US" w:eastAsia="zh-CN"/>
              </w:rPr>
              <w:t>21.3</w:t>
            </w:r>
          </w:p>
        </w:tc>
        <w:tc>
          <w:tcPr>
            <w:tcW w:w="1117" w:type="dxa"/>
            <w:vAlign w:val="center"/>
          </w:tcPr>
          <w:p w14:paraId="69DC5068">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lang w:eastAsia="zh-CN"/>
              </w:rPr>
              <w:t>居</w:t>
            </w:r>
            <w:r>
              <w:rPr>
                <w:rFonts w:hint="default"/>
                <w:color w:val="auto"/>
                <w:kern w:val="0"/>
                <w:sz w:val="24"/>
                <w:szCs w:val="24"/>
                <w:highlight w:val="none"/>
              </w:rPr>
              <w:t>全市前列</w:t>
            </w:r>
          </w:p>
        </w:tc>
        <w:tc>
          <w:tcPr>
            <w:tcW w:w="1085" w:type="dxa"/>
            <w:vAlign w:val="center"/>
          </w:tcPr>
          <w:p w14:paraId="0BD4EB1D">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6D15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4DBA8DDA">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5</w:t>
            </w:r>
          </w:p>
        </w:tc>
        <w:tc>
          <w:tcPr>
            <w:tcW w:w="996" w:type="dxa"/>
            <w:vMerge w:val="continue"/>
            <w:tcMar>
              <w:top w:w="0" w:type="dxa"/>
              <w:left w:w="57" w:type="dxa"/>
              <w:bottom w:w="0" w:type="dxa"/>
              <w:right w:w="57" w:type="dxa"/>
            </w:tcMar>
            <w:vAlign w:val="center"/>
          </w:tcPr>
          <w:p w14:paraId="79A2D277">
            <w:pPr>
              <w:adjustRightInd w:val="0"/>
              <w:snapToGrid w:val="0"/>
              <w:spacing w:after="0" w:line="380" w:lineRule="exact"/>
              <w:jc w:val="center"/>
              <w:rPr>
                <w:color w:val="auto"/>
                <w:kern w:val="0"/>
                <w:sz w:val="24"/>
                <w:szCs w:val="24"/>
                <w:highlight w:val="none"/>
              </w:rPr>
            </w:pPr>
          </w:p>
        </w:tc>
        <w:tc>
          <w:tcPr>
            <w:tcW w:w="4443" w:type="dxa"/>
            <w:shd w:val="clear" w:color="auto" w:fill="auto"/>
            <w:vAlign w:val="center"/>
          </w:tcPr>
          <w:p w14:paraId="373BAA76">
            <w:pPr>
              <w:adjustRightInd w:val="0"/>
              <w:snapToGrid w:val="0"/>
              <w:spacing w:after="0" w:line="380" w:lineRule="exact"/>
              <w:jc w:val="left"/>
              <w:rPr>
                <w:rFonts w:hint="default" w:ascii="Times New Roman" w:hAnsi="Times New Roman" w:eastAsia="仿宋_GB2312" w:cs="Times New Roman"/>
                <w:color w:val="auto"/>
                <w:kern w:val="0"/>
                <w:sz w:val="24"/>
                <w:szCs w:val="24"/>
                <w:highlight w:val="none"/>
                <w:lang w:val="en-US" w:eastAsia="zh" w:bidi="ar-SA"/>
              </w:rPr>
            </w:pPr>
            <w:r>
              <w:rPr>
                <w:rFonts w:hint="default"/>
                <w:color w:val="auto"/>
                <w:kern w:val="0"/>
                <w:sz w:val="24"/>
                <w:szCs w:val="24"/>
                <w:highlight w:val="none"/>
              </w:rPr>
              <w:t>进出口贸易额</w:t>
            </w:r>
            <w:r>
              <w:rPr>
                <w:rFonts w:hint="default"/>
                <w:color w:val="auto"/>
                <w:kern w:val="0"/>
                <w:sz w:val="24"/>
                <w:szCs w:val="24"/>
                <w:highlight w:val="none"/>
                <w:lang w:eastAsia="zh"/>
              </w:rPr>
              <w:t>（</w:t>
            </w:r>
            <w:r>
              <w:rPr>
                <w:rFonts w:hint="default"/>
                <w:color w:val="auto"/>
                <w:kern w:val="0"/>
                <w:sz w:val="24"/>
                <w:szCs w:val="24"/>
                <w:highlight w:val="none"/>
                <w:lang w:eastAsia="zh-CN"/>
              </w:rPr>
              <w:t>万</w:t>
            </w:r>
            <w:r>
              <w:rPr>
                <w:rFonts w:hint="default"/>
                <w:color w:val="auto"/>
                <w:kern w:val="0"/>
                <w:sz w:val="24"/>
                <w:szCs w:val="24"/>
                <w:highlight w:val="none"/>
                <w:lang w:eastAsia="zh"/>
              </w:rPr>
              <w:t>亿元，期末</w:t>
            </w:r>
            <w:r>
              <w:rPr>
                <w:rFonts w:hint="default"/>
                <w:color w:val="auto"/>
                <w:kern w:val="0"/>
                <w:sz w:val="24"/>
                <w:szCs w:val="24"/>
                <w:highlight w:val="none"/>
                <w:lang w:eastAsia="zh-CN"/>
              </w:rPr>
              <w:t>值</w:t>
            </w:r>
            <w:r>
              <w:rPr>
                <w:rFonts w:hint="default"/>
                <w:color w:val="auto"/>
                <w:kern w:val="0"/>
                <w:sz w:val="24"/>
                <w:szCs w:val="24"/>
                <w:highlight w:val="none"/>
                <w:lang w:eastAsia="zh"/>
              </w:rPr>
              <w:t>）</w:t>
            </w:r>
            <w:r>
              <w:rPr>
                <w:rFonts w:hint="default" w:ascii="Times New Roman" w:hAnsi="Times New Roman" w:eastAsia="仿宋_GB2312" w:cs="Times New Roman"/>
                <w:color w:val="auto"/>
                <w:sz w:val="24"/>
                <w:szCs w:val="24"/>
                <w:highlight w:val="none"/>
              </w:rPr>
              <w:t>◆</w:t>
            </w:r>
          </w:p>
        </w:tc>
        <w:tc>
          <w:tcPr>
            <w:tcW w:w="1216" w:type="dxa"/>
            <w:shd w:val="clear" w:color="auto" w:fill="auto"/>
            <w:vAlign w:val="center"/>
          </w:tcPr>
          <w:p w14:paraId="5B9692E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1</w:t>
            </w:r>
            <w:r>
              <w:rPr>
                <w:rFonts w:hint="default"/>
                <w:color w:val="auto"/>
                <w:kern w:val="0"/>
                <w:sz w:val="24"/>
                <w:szCs w:val="24"/>
                <w:highlight w:val="none"/>
                <w:lang w:val="en-US" w:eastAsia="zh-CN"/>
              </w:rPr>
              <w:t>.</w:t>
            </w:r>
            <w:r>
              <w:rPr>
                <w:rFonts w:hint="default"/>
                <w:color w:val="auto"/>
                <w:kern w:val="0"/>
                <w:sz w:val="24"/>
                <w:szCs w:val="24"/>
                <w:highlight w:val="none"/>
              </w:rPr>
              <w:t>2597</w:t>
            </w:r>
          </w:p>
        </w:tc>
        <w:tc>
          <w:tcPr>
            <w:tcW w:w="1117" w:type="dxa"/>
            <w:shd w:val="clear" w:color="auto" w:fill="auto"/>
            <w:vAlign w:val="center"/>
          </w:tcPr>
          <w:p w14:paraId="4BACA75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lang w:eastAsia="zh-CN"/>
              </w:rPr>
              <w:t>居</w:t>
            </w:r>
            <w:r>
              <w:rPr>
                <w:rFonts w:hint="default"/>
                <w:color w:val="auto"/>
                <w:kern w:val="0"/>
                <w:sz w:val="24"/>
                <w:szCs w:val="24"/>
                <w:highlight w:val="none"/>
              </w:rPr>
              <w:t>全市前列</w:t>
            </w:r>
          </w:p>
        </w:tc>
        <w:tc>
          <w:tcPr>
            <w:tcW w:w="1085" w:type="dxa"/>
            <w:shd w:val="clear" w:color="auto" w:fill="auto"/>
            <w:vAlign w:val="center"/>
          </w:tcPr>
          <w:p w14:paraId="2C251AB2">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预期性</w:t>
            </w:r>
          </w:p>
        </w:tc>
      </w:tr>
      <w:tr w14:paraId="7053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shd w:val="clear" w:color="auto" w:fill="auto"/>
            <w:vAlign w:val="center"/>
          </w:tcPr>
          <w:p w14:paraId="5F242C8F">
            <w:pPr>
              <w:adjustRightInd w:val="0"/>
              <w:snapToGrid w:val="0"/>
              <w:spacing w:after="0" w:line="380" w:lineRule="exact"/>
              <w:jc w:val="center"/>
              <w:rPr>
                <w:rFonts w:hint="default" w:eastAsia="仿宋_GB2312"/>
                <w:color w:val="auto"/>
                <w:kern w:val="0"/>
                <w:sz w:val="24"/>
                <w:szCs w:val="24"/>
                <w:highlight w:val="none"/>
                <w:lang w:eastAsia="zh-CN"/>
              </w:rPr>
            </w:pPr>
            <w:r>
              <w:rPr>
                <w:rFonts w:hint="default"/>
                <w:color w:val="auto"/>
                <w:kern w:val="0"/>
                <w:sz w:val="24"/>
                <w:szCs w:val="24"/>
                <w:highlight w:val="none"/>
                <w:lang w:val="en-US" w:eastAsia="zh-CN"/>
              </w:rPr>
              <w:t>6</w:t>
            </w:r>
          </w:p>
        </w:tc>
        <w:tc>
          <w:tcPr>
            <w:tcW w:w="996" w:type="dxa"/>
            <w:vMerge w:val="restart"/>
            <w:shd w:val="clear" w:color="auto" w:fill="auto"/>
            <w:tcMar>
              <w:top w:w="0" w:type="dxa"/>
              <w:left w:w="57" w:type="dxa"/>
              <w:bottom w:w="0" w:type="dxa"/>
              <w:right w:w="57" w:type="dxa"/>
            </w:tcMar>
            <w:vAlign w:val="center"/>
          </w:tcPr>
          <w:p w14:paraId="3C917955">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要素</w:t>
            </w:r>
          </w:p>
          <w:p w14:paraId="5E6CE675">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产业</w:t>
            </w:r>
          </w:p>
          <w:p w14:paraId="478D807C">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集聚</w:t>
            </w:r>
          </w:p>
        </w:tc>
        <w:tc>
          <w:tcPr>
            <w:tcW w:w="4443" w:type="dxa"/>
            <w:shd w:val="clear" w:color="auto" w:fill="auto"/>
            <w:vAlign w:val="center"/>
          </w:tcPr>
          <w:p w14:paraId="58D153BD">
            <w:pPr>
              <w:adjustRightInd w:val="0"/>
              <w:snapToGrid w:val="0"/>
              <w:spacing w:after="0" w:line="380" w:lineRule="exact"/>
              <w:jc w:val="left"/>
              <w:rPr>
                <w:rFonts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跨国公司地区总部数量（家、期末累计）</w:t>
            </w:r>
          </w:p>
        </w:tc>
        <w:tc>
          <w:tcPr>
            <w:tcW w:w="1216" w:type="dxa"/>
            <w:shd w:val="clear" w:color="auto" w:fill="auto"/>
            <w:vAlign w:val="center"/>
          </w:tcPr>
          <w:p w14:paraId="059CA020">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1</w:t>
            </w:r>
            <w:r>
              <w:rPr>
                <w:rFonts w:hint="default"/>
                <w:color w:val="auto"/>
                <w:kern w:val="0"/>
                <w:sz w:val="24"/>
                <w:szCs w:val="24"/>
                <w:highlight w:val="none"/>
                <w:lang w:val="en-US" w:eastAsia="zh-CN"/>
              </w:rPr>
              <w:t>7</w:t>
            </w:r>
            <w:r>
              <w:rPr>
                <w:rFonts w:hint="default"/>
                <w:color w:val="auto"/>
                <w:kern w:val="0"/>
                <w:sz w:val="24"/>
                <w:szCs w:val="24"/>
                <w:highlight w:val="none"/>
              </w:rPr>
              <w:t>7</w:t>
            </w:r>
          </w:p>
        </w:tc>
        <w:tc>
          <w:tcPr>
            <w:tcW w:w="1117" w:type="dxa"/>
            <w:shd w:val="clear" w:color="auto" w:fill="auto"/>
            <w:vAlign w:val="center"/>
          </w:tcPr>
          <w:p w14:paraId="1309BDF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sz w:val="24"/>
                <w:szCs w:val="24"/>
                <w:highlight w:val="none"/>
              </w:rPr>
              <w:t>19</w:t>
            </w:r>
            <w:r>
              <w:rPr>
                <w:rFonts w:hint="default"/>
                <w:color w:val="auto"/>
                <w:sz w:val="24"/>
                <w:szCs w:val="24"/>
                <w:highlight w:val="none"/>
                <w:lang w:val="en-US" w:eastAsia="zh-CN"/>
              </w:rPr>
              <w:t>7</w:t>
            </w:r>
          </w:p>
        </w:tc>
        <w:tc>
          <w:tcPr>
            <w:tcW w:w="1085" w:type="dxa"/>
            <w:shd w:val="clear" w:color="auto" w:fill="auto"/>
            <w:vAlign w:val="center"/>
          </w:tcPr>
          <w:p w14:paraId="23B3678E">
            <w:pPr>
              <w:adjustRightInd w:val="0"/>
              <w:snapToGrid w:val="0"/>
              <w:spacing w:after="0" w:line="380" w:lineRule="exact"/>
              <w:jc w:val="center"/>
              <w:rPr>
                <w:rFonts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预期性</w:t>
            </w:r>
          </w:p>
        </w:tc>
      </w:tr>
      <w:tr w14:paraId="256E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shd w:val="clear" w:color="auto" w:fill="auto"/>
            <w:vAlign w:val="center"/>
          </w:tcPr>
          <w:p w14:paraId="7C26A894">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7</w:t>
            </w:r>
          </w:p>
        </w:tc>
        <w:tc>
          <w:tcPr>
            <w:tcW w:w="996" w:type="dxa"/>
            <w:vMerge w:val="continue"/>
            <w:shd w:val="clear" w:color="auto" w:fill="auto"/>
            <w:tcMar>
              <w:top w:w="0" w:type="dxa"/>
              <w:left w:w="57" w:type="dxa"/>
              <w:bottom w:w="0" w:type="dxa"/>
              <w:right w:w="57" w:type="dxa"/>
            </w:tcMar>
            <w:vAlign w:val="center"/>
          </w:tcPr>
          <w:p w14:paraId="76514B78">
            <w:pPr>
              <w:adjustRightInd w:val="0"/>
              <w:snapToGrid w:val="0"/>
              <w:spacing w:after="0" w:line="380" w:lineRule="exact"/>
              <w:jc w:val="center"/>
              <w:rPr>
                <w:rFonts w:hint="default"/>
                <w:b/>
                <w:bCs/>
                <w:color w:val="auto"/>
                <w:kern w:val="0"/>
                <w:sz w:val="24"/>
                <w:szCs w:val="24"/>
                <w:highlight w:val="none"/>
              </w:rPr>
            </w:pPr>
          </w:p>
        </w:tc>
        <w:tc>
          <w:tcPr>
            <w:tcW w:w="4443" w:type="dxa"/>
            <w:shd w:val="clear" w:color="auto" w:fill="auto"/>
            <w:vAlign w:val="center"/>
          </w:tcPr>
          <w:p w14:paraId="6A9A2942">
            <w:pPr>
              <w:adjustRightInd w:val="0"/>
              <w:snapToGrid w:val="0"/>
              <w:spacing w:after="0" w:line="380" w:lineRule="exact"/>
              <w:jc w:val="left"/>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国际组织数量（个</w:t>
            </w:r>
            <w:r>
              <w:rPr>
                <w:rFonts w:hint="default"/>
                <w:color w:val="auto"/>
                <w:kern w:val="0"/>
                <w:sz w:val="24"/>
                <w:szCs w:val="24"/>
                <w:highlight w:val="none"/>
              </w:rPr>
              <w:t>、期末累计</w:t>
            </w:r>
            <w:r>
              <w:rPr>
                <w:rFonts w:hint="default"/>
                <w:color w:val="auto"/>
                <w:kern w:val="0"/>
                <w:sz w:val="24"/>
                <w:szCs w:val="24"/>
                <w:highlight w:val="none"/>
                <w:lang w:val="en-US" w:eastAsia="zh-CN"/>
              </w:rPr>
              <w:t>）</w:t>
            </w:r>
          </w:p>
        </w:tc>
        <w:tc>
          <w:tcPr>
            <w:tcW w:w="1216" w:type="dxa"/>
            <w:shd w:val="clear" w:color="auto" w:fill="auto"/>
            <w:vAlign w:val="center"/>
          </w:tcPr>
          <w:p w14:paraId="3E797C7E">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63</w:t>
            </w:r>
          </w:p>
        </w:tc>
        <w:tc>
          <w:tcPr>
            <w:tcW w:w="1117" w:type="dxa"/>
            <w:shd w:val="clear" w:color="auto" w:fill="auto"/>
            <w:vAlign w:val="center"/>
          </w:tcPr>
          <w:p w14:paraId="64273F19">
            <w:pPr>
              <w:adjustRightInd w:val="0"/>
              <w:snapToGrid w:val="0"/>
              <w:spacing w:after="0" w:line="380" w:lineRule="exact"/>
              <w:jc w:val="center"/>
              <w:rPr>
                <w:rFonts w:hint="default" w:eastAsia="仿宋_GB2312"/>
                <w:color w:val="auto"/>
                <w:sz w:val="24"/>
                <w:szCs w:val="24"/>
                <w:highlight w:val="none"/>
                <w:lang w:val="en-US" w:eastAsia="zh-CN"/>
              </w:rPr>
            </w:pPr>
            <w:r>
              <w:rPr>
                <w:rFonts w:hint="default"/>
                <w:color w:val="auto"/>
                <w:sz w:val="24"/>
                <w:szCs w:val="24"/>
                <w:highlight w:val="none"/>
                <w:lang w:val="en-US" w:eastAsia="zh-CN"/>
              </w:rPr>
              <w:t>保持增长</w:t>
            </w:r>
          </w:p>
        </w:tc>
        <w:tc>
          <w:tcPr>
            <w:tcW w:w="1085" w:type="dxa"/>
            <w:shd w:val="clear" w:color="auto" w:fill="auto"/>
            <w:vAlign w:val="center"/>
          </w:tcPr>
          <w:p w14:paraId="046DF27B">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预期性</w:t>
            </w:r>
          </w:p>
        </w:tc>
      </w:tr>
      <w:tr w14:paraId="1556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6DAA8AE1">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lang w:val="en-US" w:eastAsia="zh-CN"/>
              </w:rPr>
              <w:t>8</w:t>
            </w:r>
          </w:p>
        </w:tc>
        <w:tc>
          <w:tcPr>
            <w:tcW w:w="996" w:type="dxa"/>
            <w:vMerge w:val="continue"/>
            <w:vAlign w:val="center"/>
          </w:tcPr>
          <w:p w14:paraId="716D394D">
            <w:pPr>
              <w:adjustRightInd w:val="0"/>
              <w:snapToGrid w:val="0"/>
              <w:spacing w:after="0" w:line="380" w:lineRule="exact"/>
              <w:rPr>
                <w:color w:val="auto"/>
                <w:kern w:val="0"/>
                <w:sz w:val="24"/>
                <w:szCs w:val="24"/>
                <w:highlight w:val="none"/>
              </w:rPr>
            </w:pPr>
          </w:p>
        </w:tc>
        <w:tc>
          <w:tcPr>
            <w:tcW w:w="4443" w:type="dxa"/>
            <w:shd w:val="clear" w:color="auto" w:fill="auto"/>
            <w:vAlign w:val="center"/>
          </w:tcPr>
          <w:p w14:paraId="376CB90B">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外资研发中心数量（</w:t>
            </w:r>
            <w:r>
              <w:rPr>
                <w:rFonts w:hint="default"/>
                <w:color w:val="auto"/>
                <w:kern w:val="0"/>
                <w:sz w:val="24"/>
                <w:szCs w:val="24"/>
                <w:highlight w:val="none"/>
                <w:lang w:eastAsia="zh-CN"/>
              </w:rPr>
              <w:t>家</w:t>
            </w:r>
            <w:r>
              <w:rPr>
                <w:rFonts w:hint="default"/>
                <w:color w:val="auto"/>
                <w:kern w:val="0"/>
                <w:sz w:val="24"/>
                <w:szCs w:val="24"/>
                <w:highlight w:val="none"/>
              </w:rPr>
              <w:t>、期末累计）</w:t>
            </w:r>
            <w:r>
              <w:rPr>
                <w:rFonts w:hint="default" w:ascii="Times New Roman" w:hAnsi="Times New Roman" w:eastAsia="仿宋_GB2312" w:cs="Times New Roman"/>
                <w:color w:val="auto"/>
                <w:sz w:val="24"/>
                <w:szCs w:val="24"/>
                <w:highlight w:val="none"/>
              </w:rPr>
              <w:t>◆</w:t>
            </w:r>
          </w:p>
        </w:tc>
        <w:tc>
          <w:tcPr>
            <w:tcW w:w="1216" w:type="dxa"/>
            <w:shd w:val="clear" w:color="auto" w:fill="auto"/>
            <w:vAlign w:val="center"/>
          </w:tcPr>
          <w:p w14:paraId="4619E97B">
            <w:pPr>
              <w:adjustRightInd w:val="0"/>
              <w:snapToGrid w:val="0"/>
              <w:spacing w:after="0" w:line="380" w:lineRule="exact"/>
              <w:jc w:val="center"/>
              <w:rPr>
                <w:rFonts w:hint="default"/>
                <w:color w:val="auto"/>
                <w:kern w:val="0"/>
                <w:sz w:val="24"/>
                <w:szCs w:val="24"/>
                <w:highlight w:val="none"/>
                <w:lang w:val="en-US"/>
              </w:rPr>
            </w:pPr>
            <w:r>
              <w:rPr>
                <w:rFonts w:hint="default"/>
                <w:color w:val="auto"/>
                <w:kern w:val="0"/>
                <w:sz w:val="24"/>
                <w:szCs w:val="24"/>
                <w:highlight w:val="none"/>
                <w:lang w:val="en-US" w:eastAsia="zh-CN"/>
              </w:rPr>
              <w:t>42</w:t>
            </w:r>
          </w:p>
        </w:tc>
        <w:tc>
          <w:tcPr>
            <w:tcW w:w="1117" w:type="dxa"/>
            <w:shd w:val="clear" w:color="auto" w:fill="auto"/>
            <w:vAlign w:val="center"/>
          </w:tcPr>
          <w:p w14:paraId="108E2D0A">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5</w:t>
            </w:r>
            <w:r>
              <w:rPr>
                <w:color w:val="auto"/>
                <w:kern w:val="0"/>
                <w:sz w:val="24"/>
                <w:szCs w:val="24"/>
                <w:highlight w:val="none"/>
              </w:rPr>
              <w:t>0</w:t>
            </w:r>
          </w:p>
        </w:tc>
        <w:tc>
          <w:tcPr>
            <w:tcW w:w="1085" w:type="dxa"/>
            <w:shd w:val="clear" w:color="auto" w:fill="auto"/>
            <w:vAlign w:val="center"/>
          </w:tcPr>
          <w:p w14:paraId="39B5EC8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bl>
    <w:p w14:paraId="24D84A05">
      <w:pPr>
        <w:widowControl/>
        <w:jc w:val="left"/>
        <w:rPr>
          <w:rFonts w:eastAsia="黑体"/>
          <w:color w:val="auto"/>
          <w:szCs w:val="32"/>
          <w:highlight w:val="none"/>
        </w:rPr>
      </w:pPr>
      <w:r>
        <w:rPr>
          <w:rFonts w:hint="eastAsia" w:eastAsia="黑体"/>
          <w:color w:val="auto"/>
          <w:szCs w:val="32"/>
          <w:highlight w:val="none"/>
        </w:rPr>
        <w:br w:type="page"/>
      </w:r>
    </w:p>
    <w:p w14:paraId="3B2ED0BB">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35" w:name="_Toc9248"/>
      <w:bookmarkStart w:id="36" w:name="_Toc20078"/>
      <w:r>
        <w:rPr>
          <w:rFonts w:hint="eastAsia" w:ascii="Times New Roman" w:hAnsi="Times New Roman" w:eastAsia="方正小标宋简体" w:cs="Times New Roman"/>
          <w:color w:val="auto"/>
          <w:kern w:val="44"/>
          <w:sz w:val="36"/>
          <w:szCs w:val="36"/>
          <w:highlight w:val="none"/>
        </w:rPr>
        <w:t xml:space="preserve">第二章 </w:t>
      </w:r>
      <w:r>
        <w:rPr>
          <w:rFonts w:hint="eastAsia" w:ascii="Times New Roman" w:hAnsi="Times New Roman" w:eastAsia="方正小标宋简体" w:cs="Times New Roman"/>
          <w:color w:val="auto"/>
          <w:kern w:val="44"/>
          <w:sz w:val="36"/>
          <w:szCs w:val="36"/>
          <w:highlight w:val="none"/>
          <w:lang w:val="en-US" w:eastAsia="zh-CN"/>
        </w:rPr>
        <w:t xml:space="preserve">对标高标准经贸规则 </w:t>
      </w:r>
      <w:r>
        <w:rPr>
          <w:rFonts w:hint="eastAsia" w:ascii="Times New Roman" w:hAnsi="Times New Roman" w:eastAsia="方正小标宋简体" w:cs="Times New Roman"/>
          <w:color w:val="auto"/>
          <w:kern w:val="44"/>
          <w:sz w:val="36"/>
          <w:szCs w:val="36"/>
          <w:highlight w:val="none"/>
        </w:rPr>
        <w:t>稳步推进制度型开放</w:t>
      </w:r>
      <w:bookmarkEnd w:id="35"/>
      <w:bookmarkEnd w:id="36"/>
    </w:p>
    <w:p w14:paraId="45A3B497">
      <w:pPr>
        <w:spacing w:line="560" w:lineRule="exact"/>
        <w:ind w:firstLine="640" w:firstLineChars="200"/>
        <w:rPr>
          <w:color w:val="auto"/>
          <w:szCs w:val="32"/>
          <w:highlight w:val="none"/>
        </w:rPr>
      </w:pPr>
      <w:r>
        <w:rPr>
          <w:rFonts w:hint="eastAsia"/>
          <w:color w:val="auto"/>
          <w:szCs w:val="32"/>
          <w:highlight w:val="none"/>
        </w:rPr>
        <w:t>主动对接国际高标准经贸规则，进一步加大制度创新力度，加强改革整体谋划和系统集成，促进服务业开放提速加力。在重点领域开放、金融开放、人员</w:t>
      </w:r>
      <w:r>
        <w:rPr>
          <w:rFonts w:hint="eastAsia"/>
          <w:color w:val="auto"/>
          <w:szCs w:val="32"/>
          <w:highlight w:val="none"/>
          <w:lang w:eastAsia="zh-CN"/>
        </w:rPr>
        <w:t>跨境</w:t>
      </w:r>
      <w:r>
        <w:rPr>
          <w:rFonts w:hint="eastAsia"/>
          <w:color w:val="auto"/>
          <w:szCs w:val="32"/>
          <w:highlight w:val="none"/>
        </w:rPr>
        <w:t>流动、数据流通等方面先行先试，开展差异化探索，全面提升制度型开放水平。</w:t>
      </w:r>
    </w:p>
    <w:p w14:paraId="3DCE637B">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37" w:name="_Toc32698"/>
      <w:bookmarkStart w:id="38" w:name="_Toc4400"/>
      <w:r>
        <w:rPr>
          <w:rFonts w:hint="eastAsia" w:ascii="Times New Roman" w:hAnsi="Times New Roman" w:eastAsia="黑体" w:cs="黑体"/>
          <w:color w:val="auto"/>
          <w:sz w:val="32"/>
          <w:szCs w:val="32"/>
          <w:highlight w:val="none"/>
          <w:lang w:val="en-US" w:eastAsia="zh-CN"/>
        </w:rPr>
        <w:t xml:space="preserve">第一节 </w:t>
      </w:r>
      <w:bookmarkEnd w:id="37"/>
      <w:r>
        <w:rPr>
          <w:rFonts w:hint="eastAsia" w:ascii="Times New Roman" w:hAnsi="Times New Roman" w:eastAsia="黑体" w:cs="黑体"/>
          <w:color w:val="auto"/>
          <w:sz w:val="32"/>
          <w:szCs w:val="32"/>
          <w:highlight w:val="none"/>
          <w:lang w:val="en-US" w:eastAsia="zh-CN"/>
        </w:rPr>
        <w:t>扩大重点领域开放试点</w:t>
      </w:r>
      <w:bookmarkEnd w:id="38"/>
    </w:p>
    <w:p w14:paraId="49EC4363">
      <w:pPr>
        <w:spacing w:line="560" w:lineRule="exact"/>
        <w:ind w:firstLine="643" w:firstLineChars="200"/>
        <w:rPr>
          <w:color w:val="auto"/>
          <w:szCs w:val="32"/>
          <w:highlight w:val="none"/>
        </w:rPr>
      </w:pPr>
      <w:r>
        <w:rPr>
          <w:rFonts w:hint="eastAsia"/>
          <w:b/>
          <w:bCs/>
          <w:color w:val="auto"/>
          <w:szCs w:val="32"/>
          <w:highlight w:val="none"/>
        </w:rPr>
        <w:t>促进专业服务领域开放合作。</w:t>
      </w:r>
      <w:r>
        <w:rPr>
          <w:rFonts w:hint="eastAsia"/>
          <w:color w:val="auto"/>
          <w:szCs w:val="32"/>
          <w:highlight w:val="none"/>
          <w:lang w:val="en-US" w:eastAsia="zh-CN"/>
        </w:rPr>
        <w:t>建设</w:t>
      </w:r>
      <w:r>
        <w:rPr>
          <w:rFonts w:hint="eastAsia"/>
          <w:color w:val="auto"/>
          <w:szCs w:val="32"/>
          <w:highlight w:val="none"/>
          <w:lang w:eastAsia="zh-CN"/>
        </w:rPr>
        <w:t>国际会展</w:t>
      </w:r>
      <w:r>
        <w:rPr>
          <w:rFonts w:hint="eastAsia"/>
          <w:color w:val="auto"/>
          <w:szCs w:val="32"/>
          <w:highlight w:val="none"/>
          <w:lang w:val="en-US" w:eastAsia="zh-CN"/>
        </w:rPr>
        <w:t>之都重要承载地</w:t>
      </w:r>
      <w:r>
        <w:rPr>
          <w:rFonts w:hint="eastAsia"/>
          <w:color w:val="auto"/>
          <w:szCs w:val="32"/>
          <w:highlight w:val="none"/>
          <w:lang w:eastAsia="zh-CN"/>
        </w:rPr>
        <w:t>，</w:t>
      </w:r>
      <w:r>
        <w:rPr>
          <w:rFonts w:hint="eastAsia"/>
          <w:color w:val="auto"/>
          <w:szCs w:val="32"/>
          <w:highlight w:val="none"/>
          <w:lang w:val="en-US" w:eastAsia="zh-CN"/>
        </w:rPr>
        <w:t>实施会展业高质量发展三年行动计划，</w:t>
      </w:r>
      <w:r>
        <w:rPr>
          <w:rFonts w:hint="eastAsia"/>
          <w:color w:val="auto"/>
          <w:szCs w:val="32"/>
          <w:highlight w:val="none"/>
        </w:rPr>
        <w:t>加强与国际展览业协会（</w:t>
      </w:r>
      <w:r>
        <w:rPr>
          <w:color w:val="auto"/>
          <w:szCs w:val="32"/>
          <w:highlight w:val="none"/>
        </w:rPr>
        <w:t>UFI</w:t>
      </w:r>
      <w:r>
        <w:rPr>
          <w:rFonts w:hint="eastAsia"/>
          <w:color w:val="auto"/>
          <w:szCs w:val="32"/>
          <w:highlight w:val="none"/>
        </w:rPr>
        <w:t>）、国际大会及会议协会（</w:t>
      </w:r>
      <w:r>
        <w:rPr>
          <w:color w:val="auto"/>
          <w:szCs w:val="32"/>
          <w:highlight w:val="none"/>
        </w:rPr>
        <w:t>ICCA</w:t>
      </w:r>
      <w:r>
        <w:rPr>
          <w:rFonts w:hint="eastAsia"/>
          <w:color w:val="auto"/>
          <w:szCs w:val="32"/>
          <w:highlight w:val="none"/>
        </w:rPr>
        <w:t>）等国际知名会展业组织和国际头部展览企业合作，集聚</w:t>
      </w:r>
      <w:r>
        <w:rPr>
          <w:color w:val="auto"/>
          <w:szCs w:val="32"/>
          <w:highlight w:val="none"/>
        </w:rPr>
        <w:t>一批有国际影响力的会展品牌</w:t>
      </w:r>
      <w:r>
        <w:rPr>
          <w:rFonts w:hint="eastAsia"/>
          <w:color w:val="auto"/>
          <w:szCs w:val="32"/>
          <w:highlight w:val="none"/>
          <w:lang w:eastAsia="zh-CN"/>
        </w:rPr>
        <w:t>，吸引国际国内知名展览公司、会展行业协会及国际组织等要素资源集聚</w:t>
      </w:r>
      <w:r>
        <w:rPr>
          <w:color w:val="auto"/>
          <w:szCs w:val="32"/>
          <w:highlight w:val="none"/>
        </w:rPr>
        <w:t>。</w:t>
      </w:r>
      <w:r>
        <w:rPr>
          <w:rFonts w:hint="eastAsia"/>
          <w:color w:val="auto"/>
          <w:szCs w:val="32"/>
          <w:highlight w:val="none"/>
          <w:lang w:eastAsia="zh-CN"/>
        </w:rPr>
        <w:t>推动合格境外投资者制度优化，</w:t>
      </w:r>
      <w:r>
        <w:rPr>
          <w:rFonts w:hint="eastAsia" w:ascii="Times New Roman"/>
          <w:color w:val="auto"/>
          <w:highlight w:val="none"/>
          <w:lang w:eastAsia="zh-CN"/>
        </w:rPr>
        <w:t>指导</w:t>
      </w:r>
      <w:r>
        <w:rPr>
          <w:rFonts w:hint="eastAsia" w:ascii="Times New Roman"/>
          <w:color w:val="auto"/>
          <w:highlight w:val="none"/>
        </w:rPr>
        <w:t>区内符合资质要求的境内专业持牌机构为外资提供投资顾问服务，支持为合格境外投资者提供证券投资咨询服务</w:t>
      </w:r>
      <w:r>
        <w:rPr>
          <w:rFonts w:hint="eastAsia"/>
          <w:color w:val="auto"/>
          <w:szCs w:val="32"/>
          <w:highlight w:val="none"/>
        </w:rPr>
        <w:t>。鼓励泛法务机构设立域外法查明中心，围绕贸易投资、国际合作、法律合规以及涉外争议解决等领域提供专业服务。深化文商旅体展联动，鼓励商业营销、跨境支付、旅行、策展、赛事组织等专业服务机构联合推出具有较强国际引流效应的标杆活动，支持高能级、高流量的演出、赛事、展览等活动与商业联动发展。</w:t>
      </w:r>
    </w:p>
    <w:p w14:paraId="0D516CE8">
      <w:pPr>
        <w:spacing w:line="560" w:lineRule="exact"/>
        <w:ind w:firstLine="643" w:firstLineChars="200"/>
        <w:rPr>
          <w:rFonts w:hint="eastAsia" w:eastAsia="仿宋_GB2312"/>
          <w:strike/>
          <w:color w:val="auto"/>
          <w:szCs w:val="32"/>
          <w:highlight w:val="none"/>
          <w:lang w:eastAsia="zh-CN"/>
        </w:rPr>
      </w:pPr>
      <w:r>
        <w:rPr>
          <w:rFonts w:hint="eastAsia"/>
          <w:b/>
          <w:bCs/>
          <w:color w:val="auto"/>
          <w:szCs w:val="32"/>
          <w:highlight w:val="none"/>
        </w:rPr>
        <w:t>支持电信服务及关联业态开放发展。</w:t>
      </w:r>
      <w:r>
        <w:rPr>
          <w:rFonts w:hint="eastAsia"/>
          <w:color w:val="auto"/>
          <w:highlight w:val="none"/>
        </w:rPr>
        <w:t>推动增值电信领域开放政策试点</w:t>
      </w:r>
      <w:r>
        <w:rPr>
          <w:rFonts w:hint="eastAsia"/>
          <w:color w:val="auto"/>
          <w:highlight w:val="none"/>
          <w:lang w:eastAsia="zh-CN"/>
        </w:rPr>
        <w:t>扩面增效</w:t>
      </w:r>
      <w:r>
        <w:rPr>
          <w:rFonts w:hint="eastAsia"/>
          <w:color w:val="auto"/>
          <w:highlight w:val="none"/>
        </w:rPr>
        <w:t>，</w:t>
      </w:r>
      <w:r>
        <w:rPr>
          <w:rFonts w:hint="eastAsia" w:ascii="Times New Roman"/>
          <w:color w:val="auto"/>
          <w:highlight w:val="none"/>
        </w:rPr>
        <w:t>加强信息共享和协调合作，</w:t>
      </w:r>
      <w:r>
        <w:rPr>
          <w:rFonts w:hint="eastAsia"/>
          <w:color w:val="auto"/>
          <w:highlight w:val="none"/>
        </w:rPr>
        <w:t>提高增值电信领域外资准入服务水平。</w:t>
      </w:r>
      <w:r>
        <w:rPr>
          <w:rFonts w:hint="eastAsia"/>
          <w:color w:val="auto"/>
          <w:highlight w:val="none"/>
          <w:lang w:eastAsia="zh-CN"/>
        </w:rPr>
        <w:t>探索逐步放宽更多电信领域业务外资准入限制，</w:t>
      </w:r>
      <w:r>
        <w:rPr>
          <w:rFonts w:hint="eastAsia"/>
          <w:color w:val="auto"/>
          <w:highlight w:val="none"/>
        </w:rPr>
        <w:t>取消互联网数据中心、内容分发网络、互联网接入服务、在线数据处理与交易处理、信息保护和处理服务等业务的外资股比限制。</w:t>
      </w:r>
      <w:r>
        <w:rPr>
          <w:rFonts w:hint="eastAsia"/>
          <w:color w:val="auto"/>
          <w:szCs w:val="32"/>
          <w:highlight w:val="none"/>
        </w:rPr>
        <w:t>鼓励海外电信运营商通过设立合资公司，为区内外商投资企业提供国内互联网虚拟专用网业务（外资股比不超过50%）。深化软件和信息服务业对外开放，推动人工智能加快产业化应用，研究在数字经济国际合作领域建立</w:t>
      </w:r>
      <w:r>
        <w:rPr>
          <w:rFonts w:hint="eastAsia"/>
          <w:color w:val="auto"/>
          <w:szCs w:val="32"/>
          <w:highlight w:val="none"/>
          <w:lang w:eastAsia="zh-CN"/>
        </w:rPr>
        <w:t>“</w:t>
      </w:r>
      <w:r>
        <w:rPr>
          <w:rFonts w:hint="eastAsia"/>
          <w:color w:val="auto"/>
          <w:szCs w:val="32"/>
          <w:highlight w:val="none"/>
        </w:rPr>
        <w:t>监管沙盒</w:t>
      </w:r>
      <w:r>
        <w:rPr>
          <w:rFonts w:hint="eastAsia"/>
          <w:color w:val="auto"/>
          <w:szCs w:val="32"/>
          <w:highlight w:val="none"/>
          <w:lang w:eastAsia="zh-CN"/>
        </w:rPr>
        <w:t>”</w:t>
      </w:r>
      <w:r>
        <w:rPr>
          <w:rFonts w:hint="eastAsia"/>
          <w:color w:val="auto"/>
          <w:szCs w:val="32"/>
          <w:highlight w:val="none"/>
        </w:rPr>
        <w:t>模式。</w:t>
      </w:r>
    </w:p>
    <w:p w14:paraId="6C1B8767">
      <w:pPr>
        <w:spacing w:line="560" w:lineRule="exact"/>
        <w:ind w:firstLine="643" w:firstLineChars="200"/>
        <w:rPr>
          <w:color w:val="auto"/>
          <w:szCs w:val="32"/>
          <w:highlight w:val="none"/>
        </w:rPr>
      </w:pPr>
      <w:r>
        <w:rPr>
          <w:rFonts w:hint="eastAsia"/>
          <w:b/>
          <w:bCs/>
          <w:color w:val="auto"/>
          <w:szCs w:val="32"/>
          <w:highlight w:val="none"/>
        </w:rPr>
        <w:t>提升医疗</w:t>
      </w:r>
      <w:r>
        <w:rPr>
          <w:rFonts w:hint="eastAsia"/>
          <w:b/>
          <w:bCs/>
          <w:color w:val="auto"/>
          <w:szCs w:val="32"/>
          <w:highlight w:val="none"/>
          <w:lang w:eastAsia="zh-CN"/>
        </w:rPr>
        <w:t>健康</w:t>
      </w:r>
      <w:r>
        <w:rPr>
          <w:rFonts w:hint="eastAsia"/>
          <w:b/>
          <w:bCs/>
          <w:color w:val="auto"/>
          <w:szCs w:val="32"/>
          <w:highlight w:val="none"/>
        </w:rPr>
        <w:t>领域开放和服务水平。</w:t>
      </w:r>
      <w:bookmarkStart w:id="39" w:name="OLE_LINK4"/>
      <w:bookmarkStart w:id="40" w:name="OLE_LINK3"/>
      <w:r>
        <w:rPr>
          <w:rFonts w:hint="eastAsia" w:eastAsia="仿宋_GB2312"/>
          <w:color w:val="auto"/>
          <w:kern w:val="0"/>
          <w:sz w:val="32"/>
          <w:szCs w:val="32"/>
          <w:highlight w:val="none"/>
        </w:rPr>
        <w:t>推动生物技术、外资医疗机构等医疗领域开放试点</w:t>
      </w:r>
      <w:r>
        <w:rPr>
          <w:rFonts w:hint="eastAsia"/>
          <w:color w:val="auto"/>
          <w:kern w:val="0"/>
          <w:sz w:val="32"/>
          <w:szCs w:val="32"/>
          <w:highlight w:val="none"/>
          <w:lang w:eastAsia="zh-CN"/>
        </w:rPr>
        <w:t>，</w:t>
      </w:r>
      <w:r>
        <w:rPr>
          <w:rFonts w:hint="eastAsia" w:ascii="Times New Roman" w:hAnsi="Times New Roman" w:cs="Segoe UI"/>
          <w:color w:val="auto"/>
          <w:highlight w:val="none"/>
          <w:shd w:val="clear" w:color="auto" w:fill="FFFFFF"/>
        </w:rPr>
        <w:t>积极引导</w:t>
      </w:r>
      <w:r>
        <w:rPr>
          <w:rFonts w:hint="eastAsia"/>
          <w:color w:val="auto"/>
          <w:szCs w:val="32"/>
          <w:highlight w:val="none"/>
          <w:lang w:val="en-US" w:eastAsia="zh-CN"/>
        </w:rPr>
        <w:t>外商投资企业在自贸试验区开展人体干细胞、基因诊断与治疗技术开发和技术应用。积极引进国际高水平医疗资源，推动符合条件的境外投资者设立外商独资医院。支持依法依规开展药品器械临床研究，鼓励外商独资医院与高等院校、科研机构、其他企业基于自愿原则和商业规则开展技术合作。</w:t>
      </w:r>
      <w:r>
        <w:rPr>
          <w:rFonts w:hint="eastAsia" w:ascii="Times New Roman" w:hAnsi="Times New Roman"/>
          <w:color w:val="auto"/>
          <w:szCs w:val="32"/>
          <w:highlight w:val="none"/>
          <w:lang w:val="en-US" w:eastAsia="zh-CN"/>
        </w:rPr>
        <w:t>支持符合条件的医疗机构围绕研究型病房</w:t>
      </w:r>
      <w:r>
        <w:rPr>
          <w:rFonts w:hint="eastAsia"/>
          <w:color w:val="auto"/>
          <w:szCs w:val="32"/>
          <w:highlight w:val="none"/>
          <w:lang w:val="en-US" w:eastAsia="zh-CN"/>
        </w:rPr>
        <w:t>、</w:t>
      </w:r>
      <w:r>
        <w:rPr>
          <w:rFonts w:hint="eastAsia" w:ascii="Times New Roman" w:hAnsi="Times New Roman"/>
          <w:color w:val="auto"/>
          <w:szCs w:val="32"/>
          <w:highlight w:val="none"/>
          <w:lang w:val="en-US" w:eastAsia="zh-CN"/>
        </w:rPr>
        <w:t>研究型医院</w:t>
      </w:r>
      <w:r>
        <w:rPr>
          <w:rFonts w:hint="eastAsia"/>
          <w:color w:val="auto"/>
          <w:szCs w:val="32"/>
          <w:highlight w:val="none"/>
          <w:lang w:val="en-US" w:eastAsia="zh-CN"/>
        </w:rPr>
        <w:t>建设，</w:t>
      </w:r>
      <w:r>
        <w:rPr>
          <w:rFonts w:hint="eastAsia" w:ascii="Times New Roman"/>
          <w:color w:val="auto"/>
          <w:highlight w:val="none"/>
          <w:lang w:val="zh-CN"/>
        </w:rPr>
        <w:t>开展数字医疗疾病治疗诊断、新技术新业务研发、临床研究和成果转化</w:t>
      </w:r>
      <w:r>
        <w:rPr>
          <w:rFonts w:hint="eastAsia"/>
          <w:color w:val="auto"/>
          <w:szCs w:val="32"/>
          <w:highlight w:val="none"/>
          <w:lang w:val="en-US" w:eastAsia="zh-CN"/>
        </w:rPr>
        <w:t>。</w:t>
      </w:r>
      <w:r>
        <w:rPr>
          <w:rFonts w:hint="eastAsia"/>
          <w:color w:val="auto"/>
          <w:szCs w:val="32"/>
          <w:highlight w:val="none"/>
        </w:rPr>
        <w:t>支持符合条件的医疗机构依法申请进口临床急需、罕见病药品和医疗器械</w:t>
      </w:r>
      <w:r>
        <w:rPr>
          <w:rFonts w:hint="eastAsia" w:cs="仿宋_GB2312"/>
          <w:color w:val="auto"/>
          <w:szCs w:val="32"/>
          <w:highlight w:val="none"/>
        </w:rPr>
        <w:t>。</w:t>
      </w:r>
      <w:r>
        <w:rPr>
          <w:rFonts w:hint="eastAsia" w:cs="仿宋_GB2312"/>
          <w:color w:val="auto"/>
          <w:szCs w:val="32"/>
          <w:highlight w:val="none"/>
          <w:lang w:val="en-US" w:eastAsia="zh-CN"/>
        </w:rPr>
        <w:t>推动医疗机构、养老机构和医疗康养专业人才执业、培养等领域开放合作。</w:t>
      </w:r>
      <w:bookmarkEnd w:id="39"/>
      <w:bookmarkEnd w:id="40"/>
    </w:p>
    <w:p w14:paraId="09692F83">
      <w:pPr>
        <w:spacing w:line="560" w:lineRule="exact"/>
        <w:ind w:firstLine="643" w:firstLineChars="200"/>
        <w:rPr>
          <w:b/>
          <w:bCs/>
          <w:color w:val="auto"/>
          <w:szCs w:val="32"/>
          <w:highlight w:val="none"/>
        </w:rPr>
      </w:pPr>
      <w:r>
        <w:rPr>
          <w:rFonts w:hint="eastAsia"/>
          <w:b/>
          <w:bCs/>
          <w:color w:val="auto"/>
          <w:szCs w:val="32"/>
          <w:highlight w:val="none"/>
        </w:rPr>
        <w:t>推动教育领域开放试点。</w:t>
      </w:r>
      <w:r>
        <w:rPr>
          <w:rFonts w:hint="eastAsia"/>
          <w:strike w:val="0"/>
          <w:color w:val="auto"/>
          <w:szCs w:val="32"/>
          <w:highlight w:val="none"/>
        </w:rPr>
        <w:t>积极争取开展教育领域自主开放试点工作，联合国内外顶尖院校、高水平实验室与科创企业，开展以科技创新、可持续发展、国际议题研究为核心的深度研学与实践。</w:t>
      </w:r>
      <w:r>
        <w:rPr>
          <w:rFonts w:hint="eastAsia"/>
          <w:color w:val="auto"/>
          <w:szCs w:val="32"/>
          <w:highlight w:val="none"/>
        </w:rPr>
        <w:t>提升国际化教育水平，</w:t>
      </w:r>
      <w:r>
        <w:rPr>
          <w:rFonts w:hint="eastAsia"/>
          <w:strike w:val="0"/>
          <w:color w:val="auto"/>
          <w:szCs w:val="32"/>
          <w:highlight w:val="none"/>
        </w:rPr>
        <w:t>搭建国际资源对接平台，为拔尖创新人才提供多样化成长通道。</w:t>
      </w:r>
      <w:r>
        <w:rPr>
          <w:rFonts w:hint="eastAsia" w:ascii="Times New Roman" w:hAnsi="Times New Roman" w:eastAsia="仿宋_GB2312" w:cs="Times New Roman"/>
          <w:color w:val="auto"/>
          <w:sz w:val="32"/>
          <w:szCs w:val="32"/>
          <w:highlight w:val="none"/>
          <w:lang w:val="en-US" w:eastAsia="zh-CN"/>
        </w:rPr>
        <w:t>深化职业教育国际交流合作</w:t>
      </w:r>
      <w:r>
        <w:rPr>
          <w:rFonts w:hint="eastAsia" w:ascii="Times New Roman" w:hAnsi="Times New Roman" w:cs="Times New Roman"/>
          <w:color w:val="auto"/>
          <w:sz w:val="32"/>
          <w:szCs w:val="32"/>
          <w:highlight w:val="none"/>
          <w:lang w:val="en-US" w:eastAsia="zh-CN"/>
        </w:rPr>
        <w:t>，</w:t>
      </w:r>
      <w:r>
        <w:rPr>
          <w:rFonts w:hint="eastAsia" w:cs="Times New Roman"/>
          <w:color w:val="auto"/>
          <w:sz w:val="32"/>
          <w:szCs w:val="32"/>
          <w:highlight w:val="none"/>
          <w:lang w:val="en-US" w:eastAsia="zh-CN"/>
        </w:rPr>
        <w:t>扩大高质量国际教育供给</w:t>
      </w:r>
      <w:r>
        <w:rPr>
          <w:rFonts w:hint="eastAsia"/>
          <w:color w:val="auto"/>
          <w:szCs w:val="32"/>
          <w:highlight w:val="none"/>
        </w:rPr>
        <w:t>，</w:t>
      </w:r>
      <w:r>
        <w:rPr>
          <w:rFonts w:hint="eastAsia" w:eastAsia="仿宋_GB2312"/>
          <w:color w:val="auto"/>
          <w:kern w:val="0"/>
          <w:sz w:val="32"/>
          <w:szCs w:val="32"/>
          <w:highlight w:val="none"/>
        </w:rPr>
        <w:t>支持</w:t>
      </w:r>
      <w:r>
        <w:rPr>
          <w:rFonts w:hint="eastAsia"/>
          <w:color w:val="auto"/>
          <w:szCs w:val="32"/>
          <w:highlight w:val="none"/>
          <w:lang w:eastAsia="zh-CN"/>
        </w:rPr>
        <w:t>外资投资</w:t>
      </w:r>
      <w:r>
        <w:rPr>
          <w:rFonts w:hint="eastAsia"/>
          <w:color w:val="auto"/>
          <w:szCs w:val="32"/>
          <w:highlight w:val="none"/>
        </w:rPr>
        <w:t>设立</w:t>
      </w:r>
      <w:r>
        <w:rPr>
          <w:rFonts w:hint="eastAsia"/>
          <w:color w:val="auto"/>
          <w:szCs w:val="32"/>
          <w:highlight w:val="none"/>
          <w:lang w:eastAsia="zh-CN"/>
        </w:rPr>
        <w:t>非学制类</w:t>
      </w:r>
      <w:r>
        <w:rPr>
          <w:rFonts w:hint="eastAsia"/>
          <w:color w:val="auto"/>
          <w:szCs w:val="32"/>
          <w:highlight w:val="none"/>
        </w:rPr>
        <w:t>职业技能培训机构。</w:t>
      </w:r>
    </w:p>
    <w:p w14:paraId="6FAE7AED">
      <w:pPr>
        <w:adjustRightInd/>
        <w:snapToGrid/>
        <w:spacing w:after="0" w:afterLines="-2147483648" w:line="560" w:lineRule="exact"/>
        <w:ind w:firstLine="643" w:firstLineChars="200"/>
        <w:rPr>
          <w:color w:val="auto"/>
          <w:szCs w:val="32"/>
          <w:highlight w:val="none"/>
        </w:rPr>
      </w:pPr>
      <w:r>
        <w:rPr>
          <w:rFonts w:hint="eastAsia"/>
          <w:b/>
          <w:bCs/>
          <w:color w:val="auto"/>
          <w:szCs w:val="32"/>
          <w:highlight w:val="none"/>
        </w:rPr>
        <w:t>增强文化领域发展活力。</w:t>
      </w:r>
      <w:r>
        <w:rPr>
          <w:rFonts w:hint="eastAsia"/>
          <w:b w:val="0"/>
          <w:bCs w:val="0"/>
          <w:color w:val="auto"/>
          <w:szCs w:val="32"/>
          <w:highlight w:val="none"/>
          <w:lang w:eastAsia="zh-CN"/>
        </w:rPr>
        <w:t>推动</w:t>
      </w:r>
      <w:r>
        <w:rPr>
          <w:rFonts w:hint="eastAsia"/>
          <w:b w:val="0"/>
          <w:bCs w:val="0"/>
          <w:color w:val="auto"/>
          <w:szCs w:val="32"/>
          <w:highlight w:val="none"/>
          <w:lang w:val="en-US" w:eastAsia="zh-CN"/>
        </w:rPr>
        <w:t>CEPA服务贸易协议中支持香港人士、企业在电影、电视等领域的开放措施落地。支持香港、澳门服务提供者依据有关规定，投资设立电影制作公司，开展包括特种电影、虚拟现实电影等种类的电影制作业务。</w:t>
      </w:r>
      <w:r>
        <w:rPr>
          <w:rFonts w:hint="eastAsia"/>
          <w:color w:val="auto"/>
          <w:szCs w:val="32"/>
          <w:highlight w:val="none"/>
        </w:rPr>
        <w:t>支持符合条件的</w:t>
      </w:r>
      <w:r>
        <w:rPr>
          <w:rFonts w:hint="eastAsia"/>
          <w:color w:val="auto"/>
          <w:szCs w:val="32"/>
          <w:highlight w:val="none"/>
          <w:lang w:val="en-US" w:eastAsia="zh-CN"/>
        </w:rPr>
        <w:t>外商投资</w:t>
      </w:r>
      <w:r>
        <w:rPr>
          <w:rFonts w:hint="eastAsia"/>
          <w:color w:val="auto"/>
          <w:szCs w:val="32"/>
          <w:highlight w:val="none"/>
        </w:rPr>
        <w:t>企业</w:t>
      </w:r>
      <w:r>
        <w:rPr>
          <w:rFonts w:hint="eastAsia"/>
          <w:color w:val="auto"/>
          <w:szCs w:val="32"/>
          <w:highlight w:val="none"/>
          <w:lang w:val="en-US" w:eastAsia="zh-CN"/>
        </w:rPr>
        <w:t>在自贸试验区</w:t>
      </w:r>
      <w:r>
        <w:rPr>
          <w:rFonts w:hint="eastAsia"/>
          <w:color w:val="auto"/>
          <w:szCs w:val="32"/>
          <w:highlight w:val="none"/>
        </w:rPr>
        <w:t>开展电影后期制作服务</w:t>
      </w:r>
      <w:r>
        <w:rPr>
          <w:rFonts w:hint="eastAsia" w:cs="仿宋_GB2312"/>
          <w:color w:val="auto"/>
          <w:szCs w:val="32"/>
          <w:highlight w:val="none"/>
        </w:rPr>
        <w:t>。</w:t>
      </w:r>
      <w:r>
        <w:rPr>
          <w:rFonts w:hint="eastAsia"/>
          <w:b w:val="0"/>
          <w:bCs w:val="0"/>
          <w:color w:val="auto"/>
          <w:szCs w:val="32"/>
          <w:highlight w:val="none"/>
          <w:lang w:val="en-US" w:eastAsia="zh-CN"/>
        </w:rPr>
        <w:t>支持外商投资企业在自贸试验区</w:t>
      </w:r>
      <w:r>
        <w:rPr>
          <w:rFonts w:hint="eastAsia" w:cs="仿宋_GB2312"/>
          <w:color w:val="auto"/>
          <w:szCs w:val="32"/>
          <w:highlight w:val="none"/>
        </w:rPr>
        <w:t>开展互联网音乐经营服务</w:t>
      </w:r>
      <w:r>
        <w:rPr>
          <w:rFonts w:hint="eastAsia" w:cs="仿宋_GB2312"/>
          <w:color w:val="auto"/>
          <w:szCs w:val="32"/>
          <w:highlight w:val="none"/>
          <w:lang w:eastAsia="zh-CN"/>
        </w:rPr>
        <w:t>。</w:t>
      </w:r>
      <w:r>
        <w:rPr>
          <w:rFonts w:hint="eastAsia"/>
          <w:b w:val="0"/>
          <w:bCs w:val="0"/>
          <w:color w:val="auto"/>
          <w:szCs w:val="32"/>
          <w:highlight w:val="none"/>
          <w:lang w:val="en-US" w:eastAsia="zh-CN"/>
        </w:rPr>
        <w:t>支持智慧剧院、演艺新空间建设，积极应用超现场技术，打造线上观演和线下表演实时传输、高清观看的“双演”融合新业态，扩大经典剧目传播覆盖面。吸引未在国内公开发行的海外游戏、电影在涉外游戏、电影节展期间依规有序试放、试映。</w:t>
      </w:r>
      <w:r>
        <w:rPr>
          <w:rFonts w:hint="eastAsia"/>
          <w:color w:val="auto"/>
          <w:szCs w:val="32"/>
          <w:highlight w:val="none"/>
          <w:lang w:eastAsia="zh-CN"/>
        </w:rPr>
        <w:t>在市级部门指导下，</w:t>
      </w:r>
      <w:r>
        <w:rPr>
          <w:rFonts w:hint="eastAsia"/>
          <w:color w:val="auto"/>
          <w:szCs w:val="32"/>
          <w:highlight w:val="none"/>
        </w:rPr>
        <w:t>进一步优化举办内地营业性演出的审批流程</w:t>
      </w:r>
      <w:r>
        <w:rPr>
          <w:rFonts w:hint="eastAsia"/>
          <w:color w:val="auto"/>
          <w:highlight w:val="none"/>
          <w:lang w:eastAsia="zh-CN"/>
        </w:rPr>
        <w:t>，</w:t>
      </w:r>
      <w:r>
        <w:rPr>
          <w:rFonts w:hint="default" w:ascii="Times New Roman" w:hAnsi="Times New Roman" w:eastAsia="仿宋_GB2312" w:cs="Times New Roman"/>
          <w:strike w:val="0"/>
          <w:color w:val="auto"/>
          <w:kern w:val="2"/>
          <w:sz w:val="32"/>
          <w:szCs w:val="32"/>
          <w:highlight w:val="none"/>
          <w:lang w:val="en-US" w:eastAsia="zh-CN" w:bidi="ar-SA"/>
        </w:rPr>
        <w:t>加强对出版网络游戏</w:t>
      </w:r>
      <w:r>
        <w:rPr>
          <w:rFonts w:hint="eastAsia"/>
          <w:color w:val="auto"/>
          <w:highlight w:val="none"/>
        </w:rPr>
        <w:t>作品审批等事项</w:t>
      </w:r>
      <w:r>
        <w:rPr>
          <w:rFonts w:hint="eastAsia"/>
          <w:color w:val="auto"/>
          <w:highlight w:val="none"/>
          <w:lang w:eastAsia="zh-CN"/>
        </w:rPr>
        <w:t>的申报辅导</w:t>
      </w:r>
      <w:r>
        <w:rPr>
          <w:rFonts w:hint="eastAsia"/>
          <w:color w:val="auto"/>
          <w:highlight w:val="none"/>
        </w:rPr>
        <w:t>。</w:t>
      </w:r>
      <w:r>
        <w:rPr>
          <w:rFonts w:hint="eastAsia"/>
          <w:b w:val="0"/>
          <w:bCs w:val="0"/>
          <w:color w:val="auto"/>
          <w:szCs w:val="32"/>
          <w:highlight w:val="none"/>
          <w:lang w:val="en-US" w:eastAsia="zh-CN"/>
        </w:rPr>
        <w:t>积极引进国际顶级演出、品牌音乐节、世界经典剧目巡演等演艺演出活动，集聚优质赛事，引进国际顶级赛事与大型电竞赛事等项目。</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192E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2994C8F">
            <w:pPr>
              <w:pStyle w:val="36"/>
              <w:spacing w:before="218" w:beforeLines="50" w:after="218" w:afterLines="50" w:line="240" w:lineRule="auto"/>
              <w:rPr>
                <w:rFonts w:hint="default" w:eastAsiaTheme="minorEastAsia"/>
                <w:i w:val="0"/>
                <w:iCs w:val="0"/>
                <w:color w:val="auto"/>
                <w:highlight w:val="none"/>
              </w:rPr>
            </w:pPr>
            <w:bookmarkStart w:id="41" w:name="_Toc11122"/>
            <w:bookmarkStart w:id="42" w:name="_Toc7420"/>
            <w:r>
              <w:rPr>
                <w:i w:val="0"/>
                <w:iCs w:val="0"/>
                <w:color w:val="auto"/>
                <w:highlight w:val="none"/>
              </w:rPr>
              <w:t>专栏2 重点领域开放试点提速行动</w:t>
            </w:r>
            <w:bookmarkEnd w:id="41"/>
            <w:bookmarkEnd w:id="42"/>
          </w:p>
        </w:tc>
      </w:tr>
      <w:tr w14:paraId="5D02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6F986A1">
            <w:pPr>
              <w:adjustRightInd w:val="0"/>
              <w:snapToGrid w:val="0"/>
              <w:spacing w:after="0" w:line="380" w:lineRule="exact"/>
              <w:jc w:val="left"/>
              <w:rPr>
                <w:rFonts w:eastAsia="楷体_GB2312"/>
                <w:i w:val="0"/>
                <w:iCs w:val="0"/>
                <w:color w:val="auto"/>
                <w:kern w:val="0"/>
                <w:sz w:val="28"/>
                <w:szCs w:val="28"/>
                <w:highlight w:val="none"/>
              </w:rPr>
            </w:pPr>
            <w:r>
              <w:rPr>
                <w:rFonts w:eastAsia="楷体_GB2312"/>
                <w:i w:val="0"/>
                <w:iCs w:val="0"/>
                <w:color w:val="auto"/>
                <w:kern w:val="0"/>
                <w:sz w:val="28"/>
                <w:szCs w:val="28"/>
                <w:highlight w:val="none"/>
              </w:rPr>
              <w:t>0</w:t>
            </w:r>
            <w:r>
              <w:rPr>
                <w:rFonts w:hint="eastAsia" w:eastAsia="楷体_GB2312"/>
                <w:i w:val="0"/>
                <w:iCs w:val="0"/>
                <w:color w:val="auto"/>
                <w:kern w:val="0"/>
                <w:sz w:val="28"/>
                <w:szCs w:val="28"/>
                <w:highlight w:val="none"/>
              </w:rPr>
              <w:t>1专业服务领域</w:t>
            </w:r>
          </w:p>
          <w:p w14:paraId="6500C234">
            <w:pPr>
              <w:adjustRightInd w:val="0"/>
              <w:snapToGrid w:val="0"/>
              <w:spacing w:after="0" w:line="380" w:lineRule="exact"/>
              <w:ind w:left="640" w:leftChars="200"/>
              <w:rPr>
                <w:rFonts w:eastAsia="楷体_GB2312"/>
                <w:i w:val="0"/>
                <w:iCs w:val="0"/>
                <w:color w:val="auto"/>
                <w:kern w:val="0"/>
                <w:sz w:val="28"/>
                <w:szCs w:val="28"/>
                <w:highlight w:val="none"/>
              </w:rPr>
            </w:pPr>
            <w:r>
              <w:rPr>
                <w:rFonts w:hint="eastAsia"/>
                <w:i w:val="0"/>
                <w:iCs w:val="0"/>
                <w:color w:val="auto"/>
                <w:kern w:val="0"/>
                <w:sz w:val="28"/>
                <w:szCs w:val="28"/>
                <w:highlight w:val="none"/>
              </w:rPr>
              <w:t>鼓励符合条件的境外金融、会计、医师、教师职业资格的专业人员，依据行业主管部门制定的实施办法与操作规范，在区内开展执业活动，依法依规提供符合其职业资格范畴的专业服务。打造以国家会议中心为核心的国际会展集聚</w:t>
            </w:r>
            <w:r>
              <w:rPr>
                <w:rFonts w:hint="eastAsia"/>
                <w:i w:val="0"/>
                <w:iCs w:val="0"/>
                <w:color w:val="auto"/>
                <w:kern w:val="0"/>
                <w:sz w:val="28"/>
                <w:szCs w:val="28"/>
                <w:highlight w:val="none"/>
                <w:lang w:val="en-US" w:eastAsia="zh-CN"/>
              </w:rPr>
              <w:t>地</w:t>
            </w:r>
            <w:r>
              <w:rPr>
                <w:rFonts w:hint="eastAsia"/>
                <w:i w:val="0"/>
                <w:iCs w:val="0"/>
                <w:color w:val="auto"/>
                <w:kern w:val="0"/>
                <w:sz w:val="28"/>
                <w:szCs w:val="28"/>
                <w:highlight w:val="none"/>
              </w:rPr>
              <w:t>，</w:t>
            </w:r>
            <w:r>
              <w:rPr>
                <w:rFonts w:hint="eastAsia"/>
                <w:i w:val="0"/>
                <w:iCs w:val="0"/>
                <w:color w:val="auto"/>
                <w:kern w:val="0"/>
                <w:sz w:val="28"/>
                <w:szCs w:val="28"/>
                <w:highlight w:val="none"/>
                <w:lang w:eastAsia="zh-CN"/>
              </w:rPr>
              <w:t>培育引进国际知名展会和高端会议落户。</w:t>
            </w:r>
            <w:r>
              <w:rPr>
                <w:rFonts w:hint="eastAsia"/>
                <w:i w:val="0"/>
                <w:iCs w:val="0"/>
                <w:color w:val="auto"/>
                <w:kern w:val="0"/>
                <w:sz w:val="28"/>
                <w:szCs w:val="28"/>
                <w:highlight w:val="none"/>
              </w:rPr>
              <w:t>提升中国国际信息通信展览会等成熟会展的品牌价值，集聚一批有国际影响力的会展品牌</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支持高校、出海服务机构等依托优势资源，通过合作共建等形式，提供</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一站式</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域外法查明服务，协助市场主体规避对外投资合作风险。</w:t>
            </w:r>
          </w:p>
        </w:tc>
      </w:tr>
      <w:tr w14:paraId="1079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687F0AF6">
            <w:pPr>
              <w:adjustRightInd w:val="0"/>
              <w:snapToGrid w:val="0"/>
              <w:spacing w:after="0" w:line="380" w:lineRule="exact"/>
              <w:jc w:val="left"/>
              <w:rPr>
                <w:rFonts w:eastAsia="楷体_GB2312"/>
                <w:i w:val="0"/>
                <w:iCs w:val="0"/>
                <w:color w:val="auto"/>
                <w:kern w:val="0"/>
                <w:sz w:val="28"/>
                <w:szCs w:val="28"/>
                <w:highlight w:val="none"/>
              </w:rPr>
            </w:pPr>
            <w:r>
              <w:rPr>
                <w:rFonts w:eastAsia="楷体_GB2312"/>
                <w:i w:val="0"/>
                <w:iCs w:val="0"/>
                <w:color w:val="auto"/>
                <w:kern w:val="0"/>
                <w:sz w:val="28"/>
                <w:szCs w:val="28"/>
                <w:highlight w:val="none"/>
              </w:rPr>
              <w:t>0</w:t>
            </w:r>
            <w:r>
              <w:rPr>
                <w:rFonts w:hint="eastAsia" w:eastAsia="楷体_GB2312"/>
                <w:i w:val="0"/>
                <w:iCs w:val="0"/>
                <w:color w:val="auto"/>
                <w:kern w:val="0"/>
                <w:sz w:val="28"/>
                <w:szCs w:val="28"/>
                <w:highlight w:val="none"/>
              </w:rPr>
              <w:t>2增值电信领域</w:t>
            </w:r>
          </w:p>
          <w:p w14:paraId="51D2E80D">
            <w:pPr>
              <w:adjustRightInd w:val="0"/>
              <w:snapToGrid w:val="0"/>
              <w:spacing w:after="0" w:line="380" w:lineRule="exact"/>
              <w:ind w:left="640" w:leftChars="200"/>
              <w:rPr>
                <w:i w:val="0"/>
                <w:iCs w:val="0"/>
                <w:color w:val="auto"/>
                <w:kern w:val="0"/>
                <w:sz w:val="28"/>
                <w:szCs w:val="28"/>
                <w:highlight w:val="none"/>
              </w:rPr>
            </w:pPr>
            <w:r>
              <w:rPr>
                <w:rFonts w:hint="eastAsia"/>
                <w:i w:val="0"/>
                <w:iCs w:val="0"/>
                <w:color w:val="auto"/>
                <w:kern w:val="0"/>
                <w:sz w:val="28"/>
                <w:szCs w:val="28"/>
                <w:highlight w:val="none"/>
              </w:rPr>
              <w:t>深入开展增值电信业务扩大对外开放试点工作，加强政策宣贯辅导，优化服务管理，指导企业依法开展互联网接入、信息服务等增值电信业务。推动更多符合条件的</w:t>
            </w:r>
            <w:r>
              <w:rPr>
                <w:rFonts w:hint="eastAsia"/>
                <w:i w:val="0"/>
                <w:iCs w:val="0"/>
                <w:color w:val="auto"/>
                <w:kern w:val="0"/>
                <w:sz w:val="28"/>
                <w:szCs w:val="28"/>
                <w:highlight w:val="none"/>
                <w:lang w:val="en-US" w:eastAsia="zh-CN"/>
              </w:rPr>
              <w:t>外商投资</w:t>
            </w:r>
            <w:r>
              <w:rPr>
                <w:rFonts w:hint="eastAsia"/>
                <w:i w:val="0"/>
                <w:iCs w:val="0"/>
                <w:color w:val="auto"/>
                <w:kern w:val="0"/>
                <w:sz w:val="28"/>
                <w:szCs w:val="28"/>
                <w:highlight w:val="none"/>
              </w:rPr>
              <w:t>企业加入增值电信业务</w:t>
            </w:r>
            <w:r>
              <w:rPr>
                <w:rFonts w:hint="eastAsia"/>
                <w:i w:val="0"/>
                <w:iCs w:val="0"/>
                <w:color w:val="auto"/>
                <w:kern w:val="0"/>
                <w:sz w:val="28"/>
                <w:szCs w:val="28"/>
                <w:highlight w:val="none"/>
                <w:lang w:eastAsia="zh-CN"/>
              </w:rPr>
              <w:t>扩大开放</w:t>
            </w:r>
            <w:r>
              <w:rPr>
                <w:rFonts w:hint="eastAsia"/>
                <w:i w:val="0"/>
                <w:iCs w:val="0"/>
                <w:color w:val="auto"/>
                <w:kern w:val="0"/>
                <w:sz w:val="28"/>
                <w:szCs w:val="28"/>
                <w:highlight w:val="none"/>
              </w:rPr>
              <w:t>试点，探索更多新业态，进一步激发</w:t>
            </w:r>
            <w:r>
              <w:rPr>
                <w:rFonts w:hint="eastAsia"/>
                <w:i w:val="0"/>
                <w:iCs w:val="0"/>
                <w:color w:val="auto"/>
                <w:kern w:val="0"/>
                <w:sz w:val="28"/>
                <w:szCs w:val="28"/>
                <w:highlight w:val="none"/>
                <w:lang w:val="en-US" w:eastAsia="zh-CN"/>
              </w:rPr>
              <w:t>外商</w:t>
            </w:r>
            <w:r>
              <w:rPr>
                <w:rFonts w:hint="eastAsia"/>
                <w:i w:val="0"/>
                <w:iCs w:val="0"/>
                <w:color w:val="auto"/>
                <w:kern w:val="0"/>
                <w:sz w:val="28"/>
                <w:szCs w:val="28"/>
                <w:highlight w:val="none"/>
              </w:rPr>
              <w:t>投资电信业务市场</w:t>
            </w:r>
            <w:r>
              <w:rPr>
                <w:rFonts w:hint="eastAsia"/>
                <w:i w:val="0"/>
                <w:iCs w:val="0"/>
                <w:color w:val="auto"/>
                <w:kern w:val="0"/>
                <w:sz w:val="28"/>
                <w:szCs w:val="28"/>
                <w:highlight w:val="none"/>
                <w:lang w:eastAsia="zh-CN"/>
              </w:rPr>
              <w:t>积极性</w:t>
            </w:r>
            <w:r>
              <w:rPr>
                <w:rFonts w:hint="eastAsia"/>
                <w:i w:val="0"/>
                <w:iCs w:val="0"/>
                <w:color w:val="auto"/>
                <w:kern w:val="0"/>
                <w:sz w:val="28"/>
                <w:szCs w:val="28"/>
                <w:highlight w:val="none"/>
              </w:rPr>
              <w:t>。促进增值电信领域示范性外资项目尽早落地。</w:t>
            </w:r>
          </w:p>
        </w:tc>
      </w:tr>
      <w:tr w14:paraId="4974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1DA9E2F3">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03医疗</w:t>
            </w:r>
            <w:r>
              <w:rPr>
                <w:rFonts w:hint="eastAsia" w:eastAsia="楷体_GB2312"/>
                <w:b w:val="0"/>
                <w:bCs w:val="0"/>
                <w:i w:val="0"/>
                <w:iCs w:val="0"/>
                <w:color w:val="auto"/>
                <w:kern w:val="0"/>
                <w:sz w:val="28"/>
                <w:szCs w:val="28"/>
                <w:highlight w:val="none"/>
              </w:rPr>
              <w:t>健康</w:t>
            </w:r>
            <w:r>
              <w:rPr>
                <w:rFonts w:hint="eastAsia" w:eastAsia="楷体_GB2312"/>
                <w:i w:val="0"/>
                <w:iCs w:val="0"/>
                <w:color w:val="auto"/>
                <w:kern w:val="0"/>
                <w:sz w:val="28"/>
                <w:szCs w:val="28"/>
                <w:highlight w:val="none"/>
              </w:rPr>
              <w:t>领域</w:t>
            </w:r>
          </w:p>
          <w:p w14:paraId="6BB0D514">
            <w:pPr>
              <w:adjustRightInd w:val="0"/>
              <w:snapToGrid w:val="0"/>
              <w:spacing w:after="0" w:line="380" w:lineRule="exact"/>
              <w:ind w:left="640" w:leftChars="200"/>
              <w:rPr>
                <w:rFonts w:ascii="Times New Roman" w:hAnsi="Times New Roman" w:eastAsia="楷体_GB2312" w:cs="楷体_GB2312"/>
                <w:i w:val="0"/>
                <w:iCs w:val="0"/>
                <w:color w:val="auto"/>
                <w:kern w:val="0"/>
                <w:sz w:val="28"/>
                <w:szCs w:val="28"/>
                <w:highlight w:val="none"/>
              </w:rPr>
            </w:pPr>
            <w:r>
              <w:rPr>
                <w:rFonts w:hint="eastAsia"/>
                <w:i w:val="0"/>
                <w:iCs w:val="0"/>
                <w:color w:val="auto"/>
                <w:kern w:val="0"/>
                <w:sz w:val="28"/>
                <w:szCs w:val="28"/>
                <w:highlight w:val="none"/>
              </w:rPr>
              <w:t>主动对接有意愿的外商投资企业在朝阳区设立独资医院，鼓励引进国际高水平医疗资源，加强境外医师交流合作，引入高水平医疗管理和专业人才，丰富朝阳区医疗服务供给，为人民群众和外籍人士等提供多元化医疗服务。</w:t>
            </w:r>
          </w:p>
        </w:tc>
      </w:tr>
      <w:tr w14:paraId="4D52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5641890A">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04教育领域</w:t>
            </w:r>
          </w:p>
          <w:p w14:paraId="44725D6A">
            <w:pPr>
              <w:adjustRightInd w:val="0"/>
              <w:snapToGrid w:val="0"/>
              <w:spacing w:after="0" w:line="380" w:lineRule="exact"/>
              <w:ind w:left="640" w:leftChars="200"/>
              <w:rPr>
                <w:rFonts w:ascii="Times New Roman" w:hAnsi="Times New Roman" w:eastAsia="楷体_GB2312" w:cs="楷体_GB2312"/>
                <w:i w:val="0"/>
                <w:iCs w:val="0"/>
                <w:color w:val="auto"/>
                <w:kern w:val="0"/>
                <w:sz w:val="28"/>
                <w:szCs w:val="28"/>
                <w:highlight w:val="none"/>
              </w:rPr>
            </w:pPr>
            <w:r>
              <w:rPr>
                <w:i w:val="0"/>
                <w:iCs w:val="0"/>
                <w:color w:val="auto"/>
                <w:kern w:val="0"/>
                <w:sz w:val="28"/>
                <w:szCs w:val="28"/>
                <w:highlight w:val="none"/>
              </w:rPr>
              <w:t>推进教育高水平开放，</w:t>
            </w:r>
            <w:r>
              <w:rPr>
                <w:rFonts w:hint="eastAsia"/>
                <w:i w:val="0"/>
                <w:iCs w:val="0"/>
                <w:color w:val="auto"/>
                <w:kern w:val="0"/>
                <w:sz w:val="28"/>
                <w:szCs w:val="28"/>
                <w:highlight w:val="none"/>
              </w:rPr>
              <w:t>联合国内外顶尖院校、高水平实验室与科创企业，开展以科技创新、可持续发展、国际议题研究为核心的深度研学与实践。</w:t>
            </w:r>
          </w:p>
        </w:tc>
      </w:tr>
      <w:tr w14:paraId="65F0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13874A7E">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05文化领域</w:t>
            </w:r>
          </w:p>
          <w:p w14:paraId="5928A174">
            <w:pPr>
              <w:adjustRightInd w:val="0"/>
              <w:snapToGrid w:val="0"/>
              <w:spacing w:after="0" w:line="380" w:lineRule="exact"/>
              <w:ind w:left="640" w:leftChars="200"/>
              <w:rPr>
                <w:rFonts w:eastAsia="楷体_GB2312"/>
                <w:i w:val="0"/>
                <w:iCs w:val="0"/>
                <w:color w:val="auto"/>
                <w:kern w:val="0"/>
                <w:sz w:val="28"/>
                <w:szCs w:val="28"/>
                <w:highlight w:val="none"/>
              </w:rPr>
            </w:pPr>
            <w:r>
              <w:rPr>
                <w:rFonts w:hint="eastAsia"/>
                <w:i w:val="0"/>
                <w:iCs w:val="0"/>
                <w:color w:val="auto"/>
                <w:kern w:val="0"/>
                <w:sz w:val="28"/>
                <w:szCs w:val="28"/>
                <w:highlight w:val="none"/>
              </w:rPr>
              <w:t>支持符合条件的自贸试验区范围内的</w:t>
            </w:r>
            <w:r>
              <w:rPr>
                <w:rFonts w:hint="eastAsia"/>
                <w:i w:val="0"/>
                <w:iCs w:val="0"/>
                <w:color w:val="auto"/>
                <w:kern w:val="0"/>
                <w:sz w:val="28"/>
                <w:szCs w:val="28"/>
                <w:highlight w:val="none"/>
                <w:lang w:val="en-US" w:eastAsia="zh-CN"/>
              </w:rPr>
              <w:t>外商投资</w:t>
            </w:r>
            <w:r>
              <w:rPr>
                <w:rFonts w:hint="eastAsia"/>
                <w:i w:val="0"/>
                <w:iCs w:val="0"/>
                <w:color w:val="auto"/>
                <w:kern w:val="0"/>
                <w:sz w:val="28"/>
                <w:szCs w:val="28"/>
                <w:highlight w:val="none"/>
              </w:rPr>
              <w:t>企业经营网络音乐业务、开展影视后期制作服务，对相关领域外商洽谈项目开展</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专班式</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跟踪服务，及时协调解决问题，推动项目尽早落地。</w:t>
            </w:r>
          </w:p>
        </w:tc>
      </w:tr>
    </w:tbl>
    <w:p w14:paraId="6D5D419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43" w:name="_Toc30035"/>
      <w:bookmarkStart w:id="44" w:name="_Toc22614"/>
      <w:r>
        <w:rPr>
          <w:rFonts w:hint="eastAsia" w:ascii="Times New Roman" w:hAnsi="Times New Roman" w:eastAsia="黑体" w:cs="黑体"/>
          <w:color w:val="auto"/>
          <w:sz w:val="32"/>
          <w:szCs w:val="32"/>
          <w:highlight w:val="none"/>
          <w:lang w:val="en-US" w:eastAsia="zh-CN"/>
        </w:rPr>
        <w:t>第二节 提升金融</w:t>
      </w:r>
      <w:bookmarkEnd w:id="43"/>
      <w:r>
        <w:rPr>
          <w:rFonts w:hint="eastAsia" w:ascii="Times New Roman" w:hAnsi="Times New Roman" w:eastAsia="黑体" w:cs="黑体"/>
          <w:color w:val="auto"/>
          <w:sz w:val="32"/>
          <w:szCs w:val="32"/>
          <w:highlight w:val="none"/>
          <w:lang w:val="en-US" w:eastAsia="zh-CN"/>
        </w:rPr>
        <w:t>创新发展质效</w:t>
      </w:r>
      <w:bookmarkEnd w:id="44"/>
    </w:p>
    <w:p w14:paraId="52215DB1">
      <w:pPr>
        <w:pStyle w:val="13"/>
        <w:spacing w:after="0" w:line="560" w:lineRule="exact"/>
        <w:ind w:firstLine="643" w:firstLineChars="200"/>
        <w:rPr>
          <w:rFonts w:hint="eastAsia" w:eastAsia="仿宋_GB2312"/>
          <w:color w:val="auto"/>
          <w:highlight w:val="none"/>
          <w:lang w:eastAsia="zh-CN"/>
        </w:rPr>
      </w:pPr>
      <w:r>
        <w:rPr>
          <w:rFonts w:hint="eastAsia"/>
          <w:b/>
          <w:color w:val="auto"/>
          <w:highlight w:val="none"/>
        </w:rPr>
        <w:t>深化金融领域制度型开放</w:t>
      </w:r>
      <w:r>
        <w:rPr>
          <w:rFonts w:hint="eastAsia"/>
          <w:b/>
          <w:color w:val="auto"/>
          <w:highlight w:val="none"/>
          <w:lang w:eastAsia="zh-CN"/>
        </w:rPr>
        <w:t>。</w:t>
      </w:r>
      <w:r>
        <w:rPr>
          <w:rFonts w:hint="eastAsia"/>
          <w:b w:val="0"/>
          <w:bCs/>
          <w:color w:val="auto"/>
          <w:highlight w:val="none"/>
        </w:rPr>
        <w:t>提升跨境投融资便利化水平</w:t>
      </w:r>
      <w:r>
        <w:rPr>
          <w:rFonts w:hint="eastAsia"/>
          <w:b w:val="0"/>
          <w:bCs/>
          <w:color w:val="auto"/>
          <w:highlight w:val="none"/>
          <w:lang w:eastAsia="zh-CN"/>
        </w:rPr>
        <w:t>，</w:t>
      </w:r>
      <w:r>
        <w:rPr>
          <w:rFonts w:hint="eastAsia"/>
          <w:color w:val="auto"/>
          <w:highlight w:val="none"/>
        </w:rPr>
        <w:t>持续优化银行业、保险业准入相关服务</w:t>
      </w:r>
      <w:r>
        <w:rPr>
          <w:rFonts w:hint="eastAsia"/>
          <w:color w:val="auto"/>
          <w:highlight w:val="none"/>
          <w:lang w:eastAsia="zh-CN"/>
        </w:rPr>
        <w:t>。</w:t>
      </w:r>
      <w:r>
        <w:rPr>
          <w:rFonts w:hint="eastAsia"/>
          <w:color w:val="auto"/>
          <w:highlight w:val="none"/>
        </w:rPr>
        <w:t>鼓励外资金融机构积极开展新金融服务</w:t>
      </w:r>
      <w:r>
        <w:rPr>
          <w:rFonts w:hint="eastAsia"/>
          <w:color w:val="auto"/>
          <w:highlight w:val="none"/>
          <w:lang w:eastAsia="zh-CN"/>
        </w:rPr>
        <w:t>，</w:t>
      </w:r>
      <w:r>
        <w:rPr>
          <w:rFonts w:hint="eastAsia"/>
          <w:color w:val="auto"/>
          <w:highlight w:val="none"/>
        </w:rPr>
        <w:t>探索以国际良好实践为基础的跨境银团贷款等非居民贷款业务</w:t>
      </w:r>
      <w:r>
        <w:rPr>
          <w:rFonts w:hint="eastAsia"/>
          <w:color w:val="auto"/>
          <w:highlight w:val="none"/>
          <w:lang w:eastAsia="zh-CN"/>
        </w:rPr>
        <w:t>。</w:t>
      </w:r>
      <w:r>
        <w:rPr>
          <w:rFonts w:hint="eastAsia"/>
          <w:color w:val="auto"/>
          <w:highlight w:val="none"/>
        </w:rPr>
        <w:t>鼓励金融机构持续优化全球网络布局和服务模式，丰富跨境金融产品</w:t>
      </w:r>
      <w:r>
        <w:rPr>
          <w:rFonts w:hint="eastAsia"/>
          <w:color w:val="auto"/>
          <w:highlight w:val="none"/>
          <w:lang w:eastAsia="zh-CN"/>
        </w:rPr>
        <w:t>。</w:t>
      </w:r>
      <w:r>
        <w:rPr>
          <w:rFonts w:hint="eastAsia" w:eastAsia="仿宋_GB2312"/>
          <w:color w:val="auto"/>
          <w:sz w:val="32"/>
          <w:szCs w:val="32"/>
          <w:highlight w:val="none"/>
        </w:rPr>
        <w:t>提升跨境</w:t>
      </w:r>
      <w:r>
        <w:rPr>
          <w:rFonts w:hint="eastAsia"/>
          <w:color w:val="auto"/>
          <w:sz w:val="32"/>
          <w:szCs w:val="32"/>
          <w:highlight w:val="none"/>
          <w:lang w:eastAsia="zh-CN"/>
        </w:rPr>
        <w:t>金融</w:t>
      </w:r>
      <w:r>
        <w:rPr>
          <w:rFonts w:hint="eastAsia" w:eastAsia="仿宋_GB2312"/>
          <w:color w:val="auto"/>
          <w:sz w:val="32"/>
          <w:szCs w:val="32"/>
          <w:highlight w:val="none"/>
        </w:rPr>
        <w:t>能力，积极</w:t>
      </w:r>
      <w:r>
        <w:rPr>
          <w:rFonts w:hint="eastAsia"/>
          <w:color w:val="auto"/>
          <w:sz w:val="32"/>
          <w:szCs w:val="32"/>
          <w:highlight w:val="none"/>
          <w:lang w:eastAsia="zh-CN"/>
        </w:rPr>
        <w:t>推动</w:t>
      </w:r>
      <w:r>
        <w:rPr>
          <w:rFonts w:hint="eastAsia" w:eastAsia="仿宋_GB2312"/>
          <w:color w:val="auto"/>
          <w:sz w:val="32"/>
          <w:szCs w:val="32"/>
          <w:highlight w:val="none"/>
        </w:rPr>
        <w:t>跨境支付结算试点政策落地，深化跨国公司本外币一体化资金池业务</w:t>
      </w:r>
      <w:r>
        <w:rPr>
          <w:rFonts w:hint="eastAsia"/>
          <w:color w:val="auto"/>
          <w:sz w:val="32"/>
          <w:szCs w:val="32"/>
          <w:highlight w:val="none"/>
          <w:lang w:eastAsia="zh-CN"/>
        </w:rPr>
        <w:t>。</w:t>
      </w:r>
      <w:r>
        <w:rPr>
          <w:rFonts w:hint="eastAsia"/>
          <w:color w:val="auto"/>
          <w:sz w:val="32"/>
          <w:szCs w:val="32"/>
          <w:highlight w:val="none"/>
          <w:lang w:val="en-US" w:eastAsia="zh-CN"/>
        </w:rPr>
        <w:t>支持</w:t>
      </w:r>
      <w:r>
        <w:rPr>
          <w:rFonts w:hint="eastAsia"/>
          <w:color w:val="auto"/>
          <w:highlight w:val="none"/>
        </w:rPr>
        <w:t>银行按规定为境外机构办理其境内外汇账户（外汇NRA账户）结汇业务和人民币与外汇衍生产品交易，研究拓展NRA账户功能和应用场景。</w:t>
      </w:r>
      <w:r>
        <w:rPr>
          <w:rFonts w:hint="eastAsia" w:ascii="Times New Roman" w:hAnsi="Times New Roman" w:eastAsia="仿宋_GB2312" w:cs="Times New Roman"/>
          <w:color w:val="auto"/>
          <w:sz w:val="32"/>
          <w:highlight w:val="none"/>
        </w:rPr>
        <w:t>鼓励金融机构广泛开展数字人民币的宣传和推广活动，持续丰富数字人民币的应用场景</w:t>
      </w:r>
      <w:r>
        <w:rPr>
          <w:rFonts w:hint="eastAsia" w:cs="Times New Roman"/>
          <w:color w:val="auto"/>
          <w:sz w:val="32"/>
          <w:highlight w:val="none"/>
          <w:lang w:eastAsia="zh-CN"/>
        </w:rPr>
        <w:t>。</w:t>
      </w:r>
    </w:p>
    <w:p w14:paraId="07D3760F">
      <w:pPr>
        <w:pStyle w:val="13"/>
        <w:spacing w:after="0" w:line="560" w:lineRule="exact"/>
        <w:ind w:firstLine="643" w:firstLineChars="200"/>
        <w:rPr>
          <w:rFonts w:hint="eastAsia"/>
          <w:color w:val="auto"/>
          <w:highlight w:val="none"/>
          <w:lang w:val="en-US" w:eastAsia="zh-CN"/>
        </w:rPr>
      </w:pPr>
      <w:r>
        <w:rPr>
          <w:rFonts w:hint="eastAsia"/>
          <w:b/>
          <w:color w:val="auto"/>
          <w:highlight w:val="none"/>
        </w:rPr>
        <w:t>强化金融支撑实体经济</w:t>
      </w:r>
      <w:r>
        <w:rPr>
          <w:rFonts w:hint="eastAsia"/>
          <w:b/>
          <w:color w:val="auto"/>
          <w:highlight w:val="none"/>
          <w:lang w:eastAsia="zh-CN"/>
        </w:rPr>
        <w:t>。</w:t>
      </w:r>
      <w:r>
        <w:rPr>
          <w:rFonts w:hint="eastAsia"/>
          <w:color w:val="auto"/>
          <w:highlight w:val="none"/>
          <w:lang w:eastAsia="zh-CN"/>
        </w:rPr>
        <w:t>鼓励参与</w:t>
      </w:r>
      <w:r>
        <w:rPr>
          <w:rFonts w:hint="eastAsia"/>
          <w:color w:val="auto"/>
          <w:highlight w:val="none"/>
        </w:rPr>
        <w:t>合格境外有限合伙人（QFLP）试点，</w:t>
      </w:r>
      <w:r>
        <w:rPr>
          <w:rFonts w:hint="eastAsia" w:ascii="Times New Roman" w:hAnsi="Times New Roman" w:eastAsia="仿宋_GB2312" w:cs="Times New Roman"/>
          <w:b w:val="0"/>
          <w:bCs w:val="0"/>
          <w:color w:val="auto"/>
          <w:sz w:val="32"/>
          <w:highlight w:val="none"/>
          <w:lang w:val="en-US" w:eastAsia="zh-CN"/>
        </w:rPr>
        <w:t>引导外资投资机构开展跨境投资创新</w:t>
      </w:r>
      <w:r>
        <w:rPr>
          <w:rFonts w:hint="eastAsia"/>
          <w:color w:val="auto"/>
          <w:highlight w:val="none"/>
          <w:lang w:eastAsia="zh-CN"/>
        </w:rPr>
        <w:t>。</w:t>
      </w:r>
      <w:r>
        <w:rPr>
          <w:rFonts w:hint="eastAsia"/>
          <w:color w:val="auto"/>
          <w:highlight w:val="none"/>
        </w:rPr>
        <w:t>完善金融服务矩阵，创新探索金融服务实体经济的模式路径</w:t>
      </w:r>
      <w:r>
        <w:rPr>
          <w:rFonts w:hint="eastAsia"/>
          <w:color w:val="auto"/>
          <w:highlight w:val="none"/>
          <w:lang w:eastAsia="zh-CN"/>
        </w:rPr>
        <w:t>。</w:t>
      </w:r>
      <w:r>
        <w:rPr>
          <w:rFonts w:hint="eastAsia"/>
          <w:color w:val="auto"/>
          <w:highlight w:val="none"/>
        </w:rPr>
        <w:t>支持金融机构在风险可控前提下与外部投资机构合作，探索</w:t>
      </w:r>
      <w:r>
        <w:rPr>
          <w:rFonts w:hint="eastAsia"/>
          <w:color w:val="auto"/>
          <w:highlight w:val="none"/>
          <w:lang w:eastAsia="zh-CN"/>
        </w:rPr>
        <w:t>“</w:t>
      </w:r>
      <w:r>
        <w:rPr>
          <w:rFonts w:hint="eastAsia"/>
          <w:color w:val="auto"/>
          <w:highlight w:val="none"/>
        </w:rPr>
        <w:t>贷款+外部直投</w:t>
      </w:r>
      <w:r>
        <w:rPr>
          <w:rFonts w:hint="eastAsia"/>
          <w:color w:val="auto"/>
          <w:highlight w:val="none"/>
          <w:lang w:eastAsia="zh-CN"/>
        </w:rPr>
        <w:t>”</w:t>
      </w:r>
      <w:r>
        <w:rPr>
          <w:rFonts w:hint="eastAsia"/>
          <w:color w:val="auto"/>
          <w:highlight w:val="none"/>
        </w:rPr>
        <w:t>等业务新模式，推动在科技企业生命周期中前移金融服务</w:t>
      </w:r>
      <w:r>
        <w:rPr>
          <w:rFonts w:hint="eastAsia"/>
          <w:color w:val="auto"/>
          <w:highlight w:val="none"/>
          <w:lang w:eastAsia="zh-CN"/>
        </w:rPr>
        <w:t>。</w:t>
      </w:r>
      <w:r>
        <w:rPr>
          <w:rFonts w:hint="eastAsia" w:ascii="Times New Roman" w:hAnsi="Times New Roman" w:eastAsia="仿宋_GB2312" w:cs="Times New Roman"/>
          <w:b w:val="0"/>
          <w:bCs w:val="0"/>
          <w:color w:val="auto"/>
          <w:sz w:val="32"/>
          <w:highlight w:val="none"/>
          <w:lang w:val="en-US" w:eastAsia="zh-CN"/>
        </w:rPr>
        <w:t>加强同境内交易所、境外交易所中国代表处和上市服务机构等交流合作</w:t>
      </w:r>
      <w:r>
        <w:rPr>
          <w:rFonts w:hint="eastAsia"/>
          <w:color w:val="auto"/>
          <w:highlight w:val="none"/>
        </w:rPr>
        <w:t>，为企业上市搭建特色服务平台，帮助企业熟悉并用好资本市场。</w:t>
      </w:r>
      <w:r>
        <w:rPr>
          <w:rFonts w:hint="eastAsia" w:cs="Times New Roman"/>
          <w:color w:val="auto"/>
          <w:sz w:val="32"/>
          <w:szCs w:val="24"/>
          <w:highlight w:val="none"/>
          <w:lang w:val="en-US" w:eastAsia="zh"/>
        </w:rPr>
        <w:t>深化ESG体系建设，充分发挥引导作用，</w:t>
      </w:r>
      <w:r>
        <w:rPr>
          <w:rFonts w:hint="eastAsia"/>
          <w:color w:val="auto"/>
          <w:highlight w:val="none"/>
          <w:lang w:val="en-US" w:eastAsia="zh-CN"/>
        </w:rPr>
        <w:t>加快发展环境、社会和公司治理（ESG）咨询、评级、鉴证等专业服务，推动绿色金融和专业服务协同发展，丰富绿色金融产品供给。</w:t>
      </w:r>
    </w:p>
    <w:p w14:paraId="0AD35651">
      <w:pPr>
        <w:pStyle w:val="63"/>
        <w:widowControl w:val="0"/>
        <w:spacing w:after="0" w:line="560" w:lineRule="exact"/>
        <w:ind w:firstLine="643" w:firstLineChars="200"/>
        <w:jc w:val="both"/>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lang w:val="en-US" w:eastAsia="zh-CN"/>
        </w:rPr>
        <w:t>提升金融国际化发展能级</w:t>
      </w:r>
      <w:r>
        <w:rPr>
          <w:rFonts w:hint="eastAsia" w:ascii="Times New Roman" w:hAnsi="Times New Roman" w:eastAsia="仿宋_GB2312"/>
          <w:b/>
          <w:bCs/>
          <w:color w:val="auto"/>
          <w:sz w:val="32"/>
          <w:szCs w:val="32"/>
          <w:highlight w:val="none"/>
        </w:rPr>
        <w:t>。</w:t>
      </w:r>
      <w:r>
        <w:rPr>
          <w:rFonts w:hint="eastAsia" w:ascii="Times New Roman" w:hAnsi="Times New Roman" w:eastAsia="仿宋_GB2312"/>
          <w:b w:val="0"/>
          <w:bCs w:val="0"/>
          <w:color w:val="auto"/>
          <w:sz w:val="32"/>
          <w:szCs w:val="32"/>
          <w:highlight w:val="none"/>
        </w:rPr>
        <w:t>着力打造金融发展新高地，持续完善机构布局，鼓励持牌机构落户，大力吸引国际国内知名资产管理、财富管理和投资类机构落地，深化国际金融聚集区、国际主权财富基金港建设</w:t>
      </w:r>
      <w:r>
        <w:rPr>
          <w:rFonts w:hint="eastAsia" w:ascii="Times New Roman" w:hAnsi="Times New Roman" w:eastAsia="仿宋_GB2312"/>
          <w:b w:val="0"/>
          <w:bCs w:val="0"/>
          <w:color w:val="auto"/>
          <w:sz w:val="32"/>
          <w:szCs w:val="32"/>
          <w:highlight w:val="none"/>
          <w:lang w:eastAsia="zh-CN"/>
        </w:rPr>
        <w:t>。</w:t>
      </w:r>
      <w:r>
        <w:rPr>
          <w:rFonts w:hint="eastAsia" w:ascii="Times New Roman" w:hAnsi="Times New Roman" w:eastAsia="仿宋_GB2312"/>
          <w:color w:val="auto"/>
          <w:sz w:val="32"/>
          <w:szCs w:val="32"/>
          <w:highlight w:val="none"/>
        </w:rPr>
        <w:t>加大对外资法人银行、国际知名</w:t>
      </w:r>
      <w:r>
        <w:rPr>
          <w:rFonts w:hint="eastAsia" w:ascii="Times New Roman" w:hAnsi="Times New Roman" w:eastAsia="仿宋_GB2312" w:cs="Times New Roman"/>
          <w:color w:val="auto"/>
          <w:sz w:val="32"/>
          <w:szCs w:val="32"/>
          <w:highlight w:val="none"/>
        </w:rPr>
        <w:t>证券机构的引进力度，争取更多高能级国际金融组织、国际金融行业协会</w:t>
      </w:r>
      <w:r>
        <w:rPr>
          <w:rFonts w:hint="eastAsia" w:ascii="Times New Roman" w:hAnsi="Times New Roman" w:eastAsia="仿宋_GB2312" w:cs="Times New Roman"/>
          <w:color w:val="auto"/>
          <w:sz w:val="32"/>
          <w:szCs w:val="32"/>
          <w:highlight w:val="none"/>
          <w:lang w:eastAsia="zh-CN"/>
        </w:rPr>
        <w:t>等</w:t>
      </w:r>
      <w:r>
        <w:rPr>
          <w:rFonts w:hint="eastAsia" w:ascii="Times New Roman" w:hAnsi="Times New Roman" w:eastAsia="仿宋_GB2312" w:cs="Times New Roman"/>
          <w:color w:val="auto"/>
          <w:sz w:val="32"/>
          <w:szCs w:val="32"/>
          <w:highlight w:val="none"/>
        </w:rPr>
        <w:t>金融组织落户</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多渠道引进国际主权财富基金在华总部、分支机构及境外投资项目。着力构建</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国际</w:t>
      </w:r>
      <w:r>
        <w:rPr>
          <w:rFonts w:hint="eastAsia" w:ascii="Times New Roman" w:hAnsi="Times New Roman" w:eastAsia="仿宋_GB2312"/>
          <w:color w:val="auto"/>
          <w:sz w:val="32"/>
          <w:szCs w:val="32"/>
          <w:highlight w:val="none"/>
        </w:rPr>
        <w:t>保险+再保险中心</w:t>
      </w:r>
      <w:r>
        <w:rPr>
          <w:rFonts w:hint="eastAsia" w:ascii="Times New Roman" w:hAnsi="Times New Roman" w:eastAsia="仿宋_GB2312"/>
          <w:color w:val="auto"/>
          <w:sz w:val="32"/>
          <w:szCs w:val="32"/>
          <w:highlight w:val="none"/>
          <w:lang w:eastAsia="zh-CN"/>
        </w:rPr>
        <w:t>”，建设要素集聚、业务集中、交易活跃、规则完善的国际保险和再保险高地，</w:t>
      </w:r>
      <w:r>
        <w:rPr>
          <w:rFonts w:hint="eastAsia" w:ascii="Times New Roman" w:hAnsi="Times New Roman" w:eastAsia="仿宋_GB2312"/>
          <w:color w:val="auto"/>
          <w:sz w:val="32"/>
          <w:szCs w:val="32"/>
          <w:highlight w:val="none"/>
          <w:lang w:val="en-US" w:eastAsia="zh-CN"/>
        </w:rPr>
        <w:t>为机构集聚提供良好政策环境，</w:t>
      </w:r>
      <w:r>
        <w:rPr>
          <w:rFonts w:hint="eastAsia" w:ascii="Times New Roman" w:hAnsi="Times New Roman" w:eastAsia="仿宋_GB2312"/>
          <w:color w:val="auto"/>
          <w:sz w:val="32"/>
          <w:szCs w:val="32"/>
          <w:highlight w:val="none"/>
        </w:rPr>
        <w:t>吸引</w:t>
      </w:r>
      <w:r>
        <w:rPr>
          <w:rFonts w:hint="eastAsia" w:ascii="Times New Roman" w:hAnsi="Times New Roman" w:eastAsia="仿宋_GB2312"/>
          <w:color w:val="auto"/>
          <w:sz w:val="32"/>
          <w:szCs w:val="32"/>
          <w:highlight w:val="none"/>
          <w:lang w:val="en-US" w:eastAsia="zh-CN"/>
        </w:rPr>
        <w:t>国际</w:t>
      </w:r>
      <w:r>
        <w:rPr>
          <w:rFonts w:hint="eastAsia" w:ascii="Times New Roman" w:hAnsi="Times New Roman" w:eastAsia="仿宋_GB2312"/>
          <w:color w:val="auto"/>
          <w:sz w:val="32"/>
          <w:szCs w:val="32"/>
          <w:highlight w:val="none"/>
        </w:rPr>
        <w:t>保险</w:t>
      </w:r>
      <w:r>
        <w:rPr>
          <w:rFonts w:hint="eastAsia" w:ascii="Times New Roman" w:hAnsi="Times New Roman" w:eastAsia="仿宋_GB2312"/>
          <w:color w:val="auto"/>
          <w:sz w:val="32"/>
          <w:szCs w:val="32"/>
          <w:highlight w:val="none"/>
          <w:lang w:val="en-US" w:eastAsia="zh-CN"/>
        </w:rPr>
        <w:t>机构、</w:t>
      </w:r>
      <w:r>
        <w:rPr>
          <w:rFonts w:hint="eastAsia" w:ascii="Times New Roman" w:hAnsi="Times New Roman" w:eastAsia="仿宋_GB2312"/>
          <w:color w:val="auto"/>
          <w:sz w:val="32"/>
          <w:szCs w:val="32"/>
          <w:highlight w:val="none"/>
        </w:rPr>
        <w:t>再保险机构入驻。</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0D47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16" w:type="dxa"/>
          </w:tcPr>
          <w:p w14:paraId="3F5561D3">
            <w:pPr>
              <w:pStyle w:val="36"/>
              <w:spacing w:before="218" w:beforeLines="50" w:after="218" w:afterLines="50" w:line="240" w:lineRule="auto"/>
              <w:rPr>
                <w:rFonts w:hint="default" w:eastAsiaTheme="minorEastAsia"/>
                <w:color w:val="auto"/>
                <w:highlight w:val="none"/>
              </w:rPr>
            </w:pPr>
            <w:bookmarkStart w:id="45" w:name="_Toc10698"/>
            <w:bookmarkStart w:id="46" w:name="_Toc5136"/>
            <w:bookmarkStart w:id="47" w:name="_Toc21924"/>
            <w:r>
              <w:rPr>
                <w:color w:val="auto"/>
                <w:highlight w:val="none"/>
              </w:rPr>
              <w:t>专栏</w:t>
            </w:r>
            <w:r>
              <w:rPr>
                <w:rFonts w:hint="eastAsia"/>
                <w:color w:val="auto"/>
                <w:highlight w:val="none"/>
                <w:lang w:val="en-US" w:eastAsia="zh-CN"/>
              </w:rPr>
              <w:t>3</w:t>
            </w:r>
            <w:r>
              <w:rPr>
                <w:color w:val="auto"/>
                <w:highlight w:val="none"/>
              </w:rPr>
              <w:t xml:space="preserve"> </w:t>
            </w:r>
            <w:r>
              <w:rPr>
                <w:rFonts w:hint="eastAsia"/>
                <w:color w:val="auto"/>
                <w:highlight w:val="none"/>
                <w:lang w:val="en-US" w:eastAsia="zh-CN"/>
              </w:rPr>
              <w:t>金融国际化发展能级提升</w:t>
            </w:r>
            <w:r>
              <w:rPr>
                <w:color w:val="auto"/>
                <w:highlight w:val="none"/>
              </w:rPr>
              <w:t>行动</w:t>
            </w:r>
            <w:bookmarkEnd w:id="45"/>
            <w:bookmarkEnd w:id="46"/>
            <w:bookmarkEnd w:id="47"/>
          </w:p>
        </w:tc>
      </w:tr>
      <w:tr w14:paraId="00A2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192C1B7">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增强国际金融资源配置</w:t>
            </w:r>
          </w:p>
          <w:p w14:paraId="4506B623">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加大对外资法人银行、保险和再保险机构、国际知名证券机构的引进力度，吸引金融控股公司、资产管理公司等金融机构入驻，争取更多高能级国际主权基金、国际金融组织落户，促进跨国公司资本留存转化，引导跨国公司设立财务公司。</w:t>
            </w:r>
          </w:p>
        </w:tc>
      </w:tr>
      <w:tr w14:paraId="3A48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6" w:type="dxa"/>
          </w:tcPr>
          <w:p w14:paraId="171EF4D6">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02畅通跨境金融双向通道</w:t>
            </w:r>
          </w:p>
          <w:p w14:paraId="5ED25984">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推动一批符合条件的企业开展QFLP试点，优化试点服务保障，引导国际资本投向科技创新、现代服务业等领域。</w:t>
            </w:r>
          </w:p>
        </w:tc>
      </w:tr>
    </w:tbl>
    <w:p w14:paraId="40A364A5">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48" w:name="_Toc25736"/>
      <w:bookmarkStart w:id="49" w:name="_Toc28593"/>
      <w:r>
        <w:rPr>
          <w:rFonts w:hint="eastAsia" w:ascii="Times New Roman" w:hAnsi="Times New Roman" w:eastAsia="黑体" w:cs="黑体"/>
          <w:strike w:val="0"/>
          <w:color w:val="auto"/>
          <w:sz w:val="32"/>
          <w:szCs w:val="32"/>
          <w:highlight w:val="none"/>
          <w:lang w:val="en-US" w:eastAsia="zh-CN"/>
        </w:rPr>
        <w:t>第三节 促</w:t>
      </w:r>
      <w:r>
        <w:rPr>
          <w:rFonts w:hint="eastAsia" w:ascii="Times New Roman" w:hAnsi="Times New Roman" w:eastAsia="黑体" w:cs="黑体"/>
          <w:color w:val="auto"/>
          <w:sz w:val="32"/>
          <w:szCs w:val="32"/>
          <w:highlight w:val="none"/>
          <w:lang w:val="en-US" w:eastAsia="zh-CN"/>
        </w:rPr>
        <w:t>进人员跨境往来便利</w:t>
      </w:r>
      <w:bookmarkEnd w:id="48"/>
      <w:bookmarkEnd w:id="49"/>
    </w:p>
    <w:p w14:paraId="0ED164E3">
      <w:pPr>
        <w:pStyle w:val="13"/>
        <w:spacing w:after="0" w:line="560" w:lineRule="exact"/>
        <w:ind w:firstLine="643" w:firstLineChars="200"/>
        <w:rPr>
          <w:rFonts w:hint="eastAsia"/>
          <w:color w:val="auto"/>
          <w:highlight w:val="none"/>
        </w:rPr>
      </w:pPr>
      <w:r>
        <w:rPr>
          <w:rFonts w:hint="eastAsia"/>
          <w:b/>
          <w:color w:val="auto"/>
          <w:highlight w:val="none"/>
        </w:rPr>
        <w:t>优化商务人士出入境便利化服务。</w:t>
      </w:r>
      <w:r>
        <w:rPr>
          <w:rFonts w:hint="eastAsia"/>
          <w:color w:val="auto"/>
          <w:highlight w:val="none"/>
        </w:rPr>
        <w:t>全面落实并推广过境免签、单方面免签等政策，为符合条件的外籍商务人员设立专项签证及通关便利通道。对在京持有外国电子护照、长期居留许可、外国人永久居留身份证（五星卡）及人才签证等证件的外籍专家与商务人士，提供北京口岸边检快捷通道集中备案服务，并探索为有正当频繁出入境需求人员签发最长5年多次往返签证。为重大国际活动、高端会议参会人员提供常态化快捷通关服务。</w:t>
      </w:r>
    </w:p>
    <w:p w14:paraId="2B42B815">
      <w:pPr>
        <w:pStyle w:val="13"/>
        <w:spacing w:after="0" w:line="560" w:lineRule="exact"/>
        <w:ind w:firstLine="643" w:firstLineChars="200"/>
        <w:rPr>
          <w:rFonts w:hint="eastAsia"/>
          <w:color w:val="auto"/>
          <w:highlight w:val="none"/>
        </w:rPr>
      </w:pPr>
      <w:r>
        <w:rPr>
          <w:rFonts w:hint="eastAsia"/>
          <w:b/>
          <w:color w:val="auto"/>
          <w:highlight w:val="none"/>
        </w:rPr>
        <w:t>完善外籍高层次人才服务保障体系。</w:t>
      </w:r>
      <w:r>
        <w:rPr>
          <w:rFonts w:hint="eastAsia"/>
          <w:color w:val="auto"/>
          <w:highlight w:val="none"/>
        </w:rPr>
        <w:t>针对外籍高层次人才、急需紧缺专门人才及青年科技人才，推动换发10年多次有效签证</w:t>
      </w:r>
      <w:r>
        <w:rPr>
          <w:rFonts w:hint="eastAsia"/>
          <w:color w:val="auto"/>
          <w:highlight w:val="none"/>
          <w:lang w:eastAsia="zh-CN"/>
        </w:rPr>
        <w:t>，</w:t>
      </w:r>
      <w:r>
        <w:rPr>
          <w:rFonts w:hint="eastAsia"/>
          <w:b w:val="0"/>
          <w:bCs/>
          <w:color w:val="auto"/>
          <w:highlight w:val="none"/>
        </w:rPr>
        <w:t>拓宽国际青年人才来华发展通道。</w:t>
      </w:r>
      <w:r>
        <w:rPr>
          <w:rFonts w:hint="eastAsia"/>
          <w:color w:val="auto"/>
          <w:highlight w:val="none"/>
        </w:rPr>
        <w:t>积极争取外国人来华工作许可权限下放至朝阳区，优化外籍创新创业人才工作许可办理流程。为持人才签证（K字）的外国青年人才在华从事科研、创业、商务等活动提供更多停居留便利。放宽在</w:t>
      </w:r>
      <w:r>
        <w:rPr>
          <w:rFonts w:hint="eastAsia"/>
          <w:color w:val="auto"/>
          <w:highlight w:val="none"/>
          <w:lang w:eastAsia="zh-CN"/>
        </w:rPr>
        <w:t>“</w:t>
      </w:r>
      <w:r>
        <w:rPr>
          <w:rFonts w:hint="eastAsia"/>
          <w:color w:val="auto"/>
          <w:highlight w:val="none"/>
        </w:rPr>
        <w:t>双一流</w:t>
      </w:r>
      <w:r>
        <w:rPr>
          <w:rFonts w:hint="eastAsia"/>
          <w:color w:val="auto"/>
          <w:highlight w:val="none"/>
          <w:lang w:eastAsia="zh-CN"/>
        </w:rPr>
        <w:t>”</w:t>
      </w:r>
      <w:r>
        <w:rPr>
          <w:rFonts w:hint="eastAsia"/>
          <w:color w:val="auto"/>
          <w:highlight w:val="none"/>
        </w:rPr>
        <w:t>高校及学科毕业的外国留学生在京就业的工作经验限制，鼓励区内高校参与</w:t>
      </w:r>
      <w:r>
        <w:rPr>
          <w:rFonts w:hint="eastAsia"/>
          <w:color w:val="auto"/>
          <w:highlight w:val="none"/>
          <w:lang w:eastAsia="zh-CN"/>
        </w:rPr>
        <w:t>“</w:t>
      </w:r>
      <w:r>
        <w:rPr>
          <w:rFonts w:hint="eastAsia"/>
          <w:color w:val="auto"/>
          <w:highlight w:val="none"/>
        </w:rPr>
        <w:t>留学北京+</w:t>
      </w:r>
      <w:r>
        <w:rPr>
          <w:rFonts w:hint="eastAsia"/>
          <w:color w:val="auto"/>
          <w:highlight w:val="none"/>
          <w:lang w:eastAsia="zh-CN"/>
        </w:rPr>
        <w:t>”</w:t>
      </w:r>
      <w:r>
        <w:rPr>
          <w:rFonts w:hint="eastAsia"/>
          <w:color w:val="auto"/>
          <w:highlight w:val="none"/>
        </w:rPr>
        <w:t>行动，支持外籍留学生在学期间开展就业导向型实习。</w:t>
      </w:r>
    </w:p>
    <w:p w14:paraId="4DC28410">
      <w:pPr>
        <w:pStyle w:val="13"/>
        <w:spacing w:after="0" w:line="560" w:lineRule="exact"/>
        <w:ind w:firstLine="643" w:firstLineChars="200"/>
        <w:rPr>
          <w:rFonts w:hint="eastAsia" w:ascii="Times New Roman" w:hAnsi="Times New Roman"/>
          <w:color w:val="auto"/>
          <w:szCs w:val="32"/>
          <w:highlight w:val="none"/>
        </w:rPr>
      </w:pPr>
      <w:r>
        <w:rPr>
          <w:rFonts w:hint="eastAsia"/>
          <w:b/>
          <w:color w:val="auto"/>
          <w:highlight w:val="none"/>
        </w:rPr>
        <w:t>探索特定领域境外专业人才执业便利。</w:t>
      </w:r>
      <w:r>
        <w:rPr>
          <w:rFonts w:hint="eastAsia" w:eastAsia="仿宋_GB2312"/>
          <w:color w:val="auto"/>
          <w:sz w:val="32"/>
          <w:szCs w:val="32"/>
          <w:highlight w:val="none"/>
        </w:rPr>
        <w:t>落实专业服务领域职业资格、职业认证互认互通和跨境执业政策</w:t>
      </w:r>
      <w:r>
        <w:rPr>
          <w:rFonts w:hint="eastAsia"/>
          <w:color w:val="auto"/>
          <w:sz w:val="32"/>
          <w:szCs w:val="32"/>
          <w:highlight w:val="none"/>
          <w:lang w:eastAsia="zh-CN"/>
        </w:rPr>
        <w:t>，</w:t>
      </w:r>
      <w:r>
        <w:rPr>
          <w:rFonts w:hint="eastAsia" w:ascii="Times New Roman" w:hAnsi="Times New Roman"/>
          <w:color w:val="auto"/>
          <w:sz w:val="32"/>
          <w:szCs w:val="32"/>
          <w:highlight w:val="none"/>
          <w:lang w:val="en-US" w:eastAsia="zh-CN"/>
        </w:rPr>
        <w:t>抓好市级国际职业资格认可目录、人力资源开发目录的宣传和运用，搭建与国际接轨的人才评价体系，提升国际人才集聚能力。</w:t>
      </w:r>
      <w:r>
        <w:rPr>
          <w:rFonts w:hint="eastAsia" w:ascii="Times New Roman" w:hAnsi="Times New Roman"/>
          <w:color w:val="auto"/>
          <w:highlight w:val="none"/>
        </w:rPr>
        <w:t>推动在金融、会计、医疗、教育等领域试点境外职业资格认可，允许符合条件的外国专业人才按行业主管部门规定在区内执业。通过制度创新与流程优化，打造更有吸引力、更便利化的人才发展环境，为朝阳区高水平开放和高质量发展提供人才支撑。</w:t>
      </w:r>
    </w:p>
    <w:p w14:paraId="27EDC24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50" w:name="_Toc23680"/>
      <w:bookmarkStart w:id="51" w:name="_Toc3085"/>
      <w:r>
        <w:rPr>
          <w:rFonts w:hint="eastAsia" w:ascii="Times New Roman" w:hAnsi="Times New Roman" w:eastAsia="黑体" w:cs="黑体"/>
          <w:color w:val="auto"/>
          <w:sz w:val="32"/>
          <w:szCs w:val="32"/>
          <w:highlight w:val="none"/>
          <w:lang w:val="en-US" w:eastAsia="zh-CN"/>
        </w:rPr>
        <w:t>第四节 推动数据合规高效流通</w:t>
      </w:r>
      <w:bookmarkEnd w:id="50"/>
      <w:bookmarkEnd w:id="51"/>
    </w:p>
    <w:p w14:paraId="5101B6C5">
      <w:pPr>
        <w:widowControl/>
        <w:spacing w:line="560" w:lineRule="exact"/>
        <w:ind w:firstLine="643" w:firstLineChars="200"/>
        <w:rPr>
          <w:rFonts w:hint="default" w:ascii="Times New Roman" w:hAnsi="Times New Roman" w:eastAsia="仿宋_GB2312"/>
          <w:color w:val="auto"/>
          <w:szCs w:val="32"/>
          <w:highlight w:val="none"/>
          <w:lang w:val="en-US" w:eastAsia="zh-CN"/>
        </w:rPr>
      </w:pPr>
      <w:r>
        <w:rPr>
          <w:rFonts w:hint="eastAsia" w:ascii="Times New Roman" w:hAnsi="Times New Roman"/>
          <w:b/>
          <w:bCs/>
          <w:color w:val="auto"/>
          <w:szCs w:val="32"/>
          <w:highlight w:val="none"/>
          <w:lang w:val="en-US" w:eastAsia="zh-CN"/>
        </w:rPr>
        <w:t>加快繁荣数据市场。</w:t>
      </w:r>
      <w:r>
        <w:rPr>
          <w:rFonts w:ascii="Times New Roman" w:hAnsi="Times New Roman"/>
          <w:color w:val="auto"/>
          <w:szCs w:val="32"/>
          <w:highlight w:val="none"/>
        </w:rPr>
        <w:t>充分发挥超大规模城市海量数据和丰富应用场景的优势</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建设全国首个</w:t>
      </w:r>
      <w:r>
        <w:rPr>
          <w:rFonts w:ascii="Times New Roman" w:hAnsi="Times New Roman"/>
          <w:color w:val="auto"/>
          <w:szCs w:val="32"/>
          <w:highlight w:val="none"/>
        </w:rPr>
        <w:t>数据商务区（DBD）</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充分发挥世界数据组织（WDO）驻在地优势，加强能力建设与技术合作，促进数据资源开发利用，进一步释放数据价值，繁荣数字经济。</w:t>
      </w:r>
      <w:r>
        <w:rPr>
          <w:rFonts w:hint="default" w:ascii="Times New Roman" w:hAnsi="Times New Roman" w:cs="Times New Roman"/>
          <w:strike w:val="0"/>
          <w:color w:val="auto"/>
          <w:highlight w:val="none"/>
        </w:rPr>
        <w:t>以AI+医疗、AI+教育等大模型应用为牵引，围绕医疗健康、具身智能、智慧康养、影音视听、工业制造、新材料、法商融合等重点领域，推动建设一批通用领域和垂直领域高质量数据集。</w:t>
      </w:r>
      <w:r>
        <w:rPr>
          <w:rFonts w:hint="eastAsia" w:ascii="Times New Roman" w:hAnsi="Times New Roman"/>
          <w:color w:val="auto"/>
          <w:szCs w:val="32"/>
          <w:highlight w:val="none"/>
          <w:lang w:val="en-US" w:eastAsia="zh-CN"/>
        </w:rPr>
        <w:t>加快培育和聚拢全链条数据商，</w:t>
      </w:r>
      <w:r>
        <w:rPr>
          <w:rFonts w:hint="eastAsia" w:ascii="Times New Roman" w:hAnsi="Times New Roman"/>
          <w:color w:val="auto"/>
          <w:szCs w:val="32"/>
          <w:highlight w:val="none"/>
        </w:rPr>
        <w:t>支持数据采集标注、分析挖掘、流通使用、数据安全等技术创新和应用，</w:t>
      </w:r>
      <w:r>
        <w:rPr>
          <w:rFonts w:hint="eastAsia" w:ascii="Times New Roman" w:hAnsi="Times New Roman"/>
          <w:color w:val="auto"/>
          <w:szCs w:val="32"/>
          <w:highlight w:val="none"/>
          <w:lang w:val="en-US" w:eastAsia="zh-CN"/>
        </w:rPr>
        <w:t>加大</w:t>
      </w:r>
      <w:r>
        <w:rPr>
          <w:rFonts w:hint="eastAsia" w:ascii="Times New Roman" w:hAnsi="Times New Roman"/>
          <w:color w:val="auto"/>
          <w:szCs w:val="32"/>
          <w:highlight w:val="none"/>
        </w:rPr>
        <w:t>数据产品和服务</w:t>
      </w:r>
      <w:r>
        <w:rPr>
          <w:rFonts w:hint="eastAsia" w:ascii="Times New Roman" w:hAnsi="Times New Roman"/>
          <w:color w:val="auto"/>
          <w:szCs w:val="32"/>
          <w:highlight w:val="none"/>
          <w:lang w:val="en-US" w:eastAsia="zh-CN"/>
        </w:rPr>
        <w:t>供给力度</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完善场景开放创新的供需对接、揭榜攻关机制，深入开展“数据要素×”行动、“人工智能+”行动，重点围绕场景创新应用，打造智慧城市综合应用示范。</w:t>
      </w:r>
    </w:p>
    <w:p w14:paraId="20BA6BE0">
      <w:pPr>
        <w:pStyle w:val="70"/>
        <w:widowControl/>
        <w:spacing w:line="560" w:lineRule="exact"/>
        <w:ind w:firstLine="643" w:firstLineChars="200"/>
        <w:rPr>
          <w:rFonts w:ascii="Times New Roman" w:hAnsi="Times New Roman"/>
          <w:color w:val="auto"/>
          <w:szCs w:val="40"/>
          <w:highlight w:val="none"/>
        </w:rPr>
      </w:pPr>
      <w:r>
        <w:rPr>
          <w:rFonts w:hint="eastAsia" w:ascii="Times New Roman" w:hAnsi="Times New Roman"/>
          <w:b/>
          <w:bCs/>
          <w:color w:val="auto"/>
          <w:szCs w:val="32"/>
          <w:highlight w:val="none"/>
          <w:lang w:val="en-US" w:eastAsia="zh-CN"/>
        </w:rPr>
        <w:t>强化数据流通基础建设。</w:t>
      </w:r>
      <w:r>
        <w:rPr>
          <w:rFonts w:hint="default" w:ascii="Times New Roman" w:hAnsi="Times New Roman" w:cs="Times New Roman"/>
          <w:bCs/>
          <w:color w:val="auto"/>
          <w:highlight w:val="none"/>
        </w:rPr>
        <w:t>探索数据跨境制度创新，支持北京国际大数据交易所等创新主体试点开展国内法规与国际标准的融合创新，探索建立跨境数据开发利用和流通合作机制</w:t>
      </w:r>
      <w:r>
        <w:rPr>
          <w:rFonts w:hint="eastAsia" w:ascii="Times New Roman" w:hAnsi="Times New Roman" w:cs="Times New Roman"/>
          <w:bCs/>
          <w:color w:val="auto"/>
          <w:highlight w:val="none"/>
          <w:lang w:eastAsia="zh-CN"/>
        </w:rPr>
        <w:t>。</w:t>
      </w:r>
      <w:r>
        <w:rPr>
          <w:rFonts w:hint="eastAsia" w:ascii="Times New Roman" w:hAnsi="Times New Roman" w:eastAsia="仿宋_GB2312" w:cs="Times New Roman"/>
          <w:color w:val="auto"/>
          <w:kern w:val="2"/>
          <w:sz w:val="32"/>
          <w:szCs w:val="32"/>
          <w:highlight w:val="none"/>
          <w:lang w:val="en-US" w:eastAsia="zh-CN" w:bidi="ar-SA"/>
        </w:rPr>
        <w:t>支持北京国际大数据交易所完善数据登记、评估、定价、交易、结算的全链条功能，提升其作为国家级数据交易枢纽的核心地位与服务能级。</w:t>
      </w:r>
      <w:r>
        <w:rPr>
          <w:rFonts w:hint="eastAsia" w:ascii="Times New Roman" w:hAnsi="Times New Roman"/>
          <w:color w:val="auto"/>
          <w:szCs w:val="40"/>
          <w:highlight w:val="none"/>
          <w:lang w:val="en-US" w:eastAsia="zh-CN"/>
        </w:rPr>
        <w:t>加快完善数据服务商生态，</w:t>
      </w:r>
      <w:r>
        <w:rPr>
          <w:rFonts w:ascii="Times New Roman" w:hAnsi="Times New Roman"/>
          <w:color w:val="auto"/>
          <w:szCs w:val="40"/>
          <w:highlight w:val="none"/>
        </w:rPr>
        <w:t>推动</w:t>
      </w:r>
      <w:r>
        <w:rPr>
          <w:rFonts w:hint="eastAsia" w:ascii="Times New Roman" w:hAnsi="Times New Roman"/>
          <w:color w:val="auto"/>
          <w:szCs w:val="40"/>
          <w:highlight w:val="none"/>
          <w:lang w:val="en-US" w:eastAsia="zh-CN"/>
        </w:rPr>
        <w:t>数据交易机构与数据流通交易平台互认</w:t>
      </w:r>
      <w:r>
        <w:rPr>
          <w:rFonts w:ascii="Times New Roman" w:hAnsi="Times New Roman"/>
          <w:color w:val="auto"/>
          <w:szCs w:val="40"/>
          <w:highlight w:val="none"/>
        </w:rPr>
        <w:t>互通，打造全国数据登记、流通和交易核心枢纽。</w:t>
      </w:r>
    </w:p>
    <w:p w14:paraId="01BC6973">
      <w:pPr>
        <w:widowControl/>
        <w:spacing w:line="560" w:lineRule="exact"/>
        <w:ind w:firstLine="643" w:firstLineChars="200"/>
        <w:rPr>
          <w:color w:val="auto"/>
          <w:szCs w:val="32"/>
          <w:highlight w:val="none"/>
        </w:rPr>
      </w:pPr>
      <w:r>
        <w:rPr>
          <w:rFonts w:hint="eastAsia"/>
          <w:b/>
          <w:bCs/>
          <w:color w:val="auto"/>
          <w:szCs w:val="32"/>
          <w:highlight w:val="none"/>
        </w:rPr>
        <w:t>有序推进数据跨境流动。</w:t>
      </w:r>
      <w:r>
        <w:rPr>
          <w:rFonts w:hint="eastAsia"/>
          <w:b w:val="0"/>
          <w:bCs w:val="0"/>
          <w:color w:val="auto"/>
          <w:szCs w:val="32"/>
          <w:highlight w:val="none"/>
          <w:lang w:eastAsia="zh-CN"/>
        </w:rPr>
        <w:t>根据</w:t>
      </w:r>
      <w:r>
        <w:rPr>
          <w:rFonts w:hint="eastAsia" w:ascii="Times New Roman" w:hAnsi="Times New Roman" w:cs="Times New Roman"/>
          <w:color w:val="auto"/>
          <w:highlight w:val="none"/>
          <w:u w:val="none"/>
          <w:lang w:val="en-US" w:eastAsia="zh-CN"/>
        </w:rPr>
        <w:t>市级部门安排</w:t>
      </w:r>
      <w:r>
        <w:rPr>
          <w:rFonts w:hint="eastAsia"/>
          <w:color w:val="auto"/>
          <w:szCs w:val="32"/>
          <w:highlight w:val="none"/>
        </w:rPr>
        <w:t>推动优化升级数据跨境流动政策、服务、技术和</w:t>
      </w:r>
      <w:r>
        <w:rPr>
          <w:rFonts w:hint="eastAsia"/>
          <w:color w:val="auto"/>
          <w:szCs w:val="32"/>
          <w:highlight w:val="none"/>
          <w:lang w:eastAsia="zh-CN"/>
        </w:rPr>
        <w:t>安全</w:t>
      </w:r>
      <w:r>
        <w:rPr>
          <w:rFonts w:hint="eastAsia"/>
          <w:color w:val="auto"/>
          <w:szCs w:val="32"/>
          <w:highlight w:val="none"/>
        </w:rPr>
        <w:t>监管体系</w:t>
      </w:r>
      <w:r>
        <w:rPr>
          <w:rFonts w:hint="eastAsia"/>
          <w:color w:val="auto"/>
          <w:szCs w:val="32"/>
          <w:highlight w:val="none"/>
          <w:lang w:eastAsia="zh-CN"/>
        </w:rPr>
        <w:t>。</w:t>
      </w:r>
      <w:r>
        <w:rPr>
          <w:rFonts w:hint="eastAsia"/>
          <w:color w:val="auto"/>
          <w:szCs w:val="32"/>
          <w:highlight w:val="none"/>
          <w:lang w:val="en-US" w:eastAsia="zh-CN"/>
        </w:rPr>
        <w:t>加快自贸试验区</w:t>
      </w:r>
      <w:r>
        <w:rPr>
          <w:rFonts w:hint="eastAsia"/>
          <w:color w:val="auto"/>
          <w:szCs w:val="32"/>
          <w:highlight w:val="none"/>
        </w:rPr>
        <w:t>数据出境负面清单制度扩围使用，提升数据跨境效率。构建数据跨境便利化服务体系，提升“北京CBD跨国企业数据流通服务中心”和“北京朝阳国际数据跨境服务枢纽”数据跨境双平台服务能级</w:t>
      </w:r>
      <w:r>
        <w:rPr>
          <w:rFonts w:hint="eastAsia"/>
          <w:color w:val="auto"/>
          <w:szCs w:val="32"/>
          <w:highlight w:val="none"/>
          <w:lang w:eastAsia="zh-CN"/>
        </w:rPr>
        <w:t>，</w:t>
      </w:r>
      <w:r>
        <w:rPr>
          <w:rFonts w:hint="eastAsia"/>
          <w:color w:val="auto"/>
          <w:szCs w:val="32"/>
          <w:highlight w:val="none"/>
          <w:lang w:val="en-US" w:eastAsia="zh-CN"/>
        </w:rPr>
        <w:t>优化</w:t>
      </w:r>
      <w:r>
        <w:rPr>
          <w:rFonts w:hint="eastAsia"/>
          <w:color w:val="auto"/>
          <w:szCs w:val="32"/>
          <w:highlight w:val="none"/>
        </w:rPr>
        <w:t>数据出境</w:t>
      </w:r>
      <w:r>
        <w:rPr>
          <w:rFonts w:hint="eastAsia"/>
          <w:color w:val="auto"/>
          <w:szCs w:val="32"/>
          <w:highlight w:val="none"/>
          <w:lang w:eastAsia="zh-CN"/>
        </w:rPr>
        <w:t>“</w:t>
      </w:r>
      <w:r>
        <w:rPr>
          <w:rFonts w:hint="eastAsia"/>
          <w:color w:val="auto"/>
          <w:szCs w:val="32"/>
          <w:highlight w:val="none"/>
        </w:rPr>
        <w:t>绿色通道</w:t>
      </w:r>
      <w:r>
        <w:rPr>
          <w:rFonts w:hint="eastAsia"/>
          <w:color w:val="auto"/>
          <w:szCs w:val="32"/>
          <w:highlight w:val="none"/>
          <w:lang w:eastAsia="zh-CN"/>
        </w:rPr>
        <w:t>”</w:t>
      </w:r>
      <w:r>
        <w:rPr>
          <w:rFonts w:hint="eastAsia"/>
          <w:color w:val="auto"/>
          <w:szCs w:val="32"/>
          <w:highlight w:val="none"/>
        </w:rPr>
        <w:t>，培育一批数据跨境合规评估服务机构，扩展服务覆盖范围，降低企业数据跨境成本。</w:t>
      </w:r>
    </w:p>
    <w:p w14:paraId="483DC7E8">
      <w:pPr>
        <w:widowControl/>
        <w:jc w:val="left"/>
        <w:rPr>
          <w:rFonts w:eastAsia="黑体"/>
          <w:color w:val="auto"/>
          <w:szCs w:val="32"/>
          <w:highlight w:val="none"/>
        </w:rPr>
      </w:pPr>
      <w:bookmarkStart w:id="52" w:name="_Toc22727"/>
      <w:bookmarkStart w:id="53" w:name="_Toc19689"/>
      <w:r>
        <w:rPr>
          <w:rFonts w:hint="eastAsia" w:eastAsia="黑体"/>
          <w:color w:val="auto"/>
          <w:szCs w:val="32"/>
          <w:highlight w:val="none"/>
        </w:rPr>
        <w:br w:type="page"/>
      </w:r>
    </w:p>
    <w:p w14:paraId="6AD605A8">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54" w:name="_Toc3362"/>
      <w:bookmarkStart w:id="55" w:name="_Toc18672"/>
      <w:r>
        <w:rPr>
          <w:rFonts w:hint="eastAsia" w:ascii="Times New Roman" w:hAnsi="Times New Roman" w:eastAsia="方正小标宋简体" w:cs="Times New Roman"/>
          <w:color w:val="auto"/>
          <w:kern w:val="44"/>
          <w:sz w:val="36"/>
          <w:szCs w:val="36"/>
          <w:highlight w:val="none"/>
        </w:rPr>
        <w:t xml:space="preserve">第三章 </w:t>
      </w:r>
      <w:r>
        <w:rPr>
          <w:rFonts w:hint="eastAsia" w:ascii="Times New Roman" w:hAnsi="Times New Roman" w:eastAsia="方正小标宋简体"/>
          <w:color w:val="auto"/>
          <w:kern w:val="44"/>
          <w:sz w:val="36"/>
          <w:szCs w:val="36"/>
          <w:highlight w:val="none"/>
          <w:lang w:eastAsia="zh"/>
        </w:rPr>
        <w:t>加大国际要素供给</w:t>
      </w:r>
      <w:r>
        <w:rPr>
          <w:rFonts w:hint="eastAsia" w:ascii="Times New Roman" w:hAnsi="Times New Roman" w:eastAsia="方正小标宋简体"/>
          <w:color w:val="auto"/>
          <w:kern w:val="44"/>
          <w:sz w:val="36"/>
          <w:szCs w:val="36"/>
          <w:highlight w:val="none"/>
          <w:lang w:val="en-US" w:eastAsia="zh-CN"/>
        </w:rPr>
        <w:t xml:space="preserve"> </w:t>
      </w:r>
      <w:r>
        <w:rPr>
          <w:rFonts w:hint="eastAsia" w:ascii="Times New Roman" w:hAnsi="Times New Roman" w:eastAsia="方正小标宋简体" w:cs="Times New Roman"/>
          <w:color w:val="auto"/>
          <w:kern w:val="44"/>
          <w:sz w:val="36"/>
          <w:szCs w:val="36"/>
          <w:highlight w:val="none"/>
        </w:rPr>
        <w:t>提升</w:t>
      </w:r>
      <w:r>
        <w:rPr>
          <w:rFonts w:hint="eastAsia" w:ascii="Times New Roman" w:hAnsi="Times New Roman" w:eastAsia="方正小标宋简体" w:cs="Times New Roman"/>
          <w:color w:val="auto"/>
          <w:kern w:val="44"/>
          <w:sz w:val="36"/>
          <w:szCs w:val="36"/>
          <w:highlight w:val="none"/>
          <w:lang w:eastAsia="zh"/>
        </w:rPr>
        <w:t>重点园区开放能级</w:t>
      </w:r>
      <w:bookmarkEnd w:id="52"/>
      <w:bookmarkEnd w:id="53"/>
      <w:bookmarkEnd w:id="54"/>
      <w:bookmarkEnd w:id="55"/>
    </w:p>
    <w:p w14:paraId="35885C53">
      <w:pPr>
        <w:spacing w:line="560" w:lineRule="exact"/>
        <w:ind w:firstLine="640" w:firstLineChars="200"/>
        <w:rPr>
          <w:color w:val="auto"/>
          <w:szCs w:val="32"/>
          <w:highlight w:val="none"/>
        </w:rPr>
      </w:pPr>
      <w:r>
        <w:rPr>
          <w:rFonts w:hint="eastAsia"/>
          <w:color w:val="auto"/>
          <w:szCs w:val="32"/>
          <w:highlight w:val="none"/>
        </w:rPr>
        <w:t>以北京自贸试验区朝阳组团、中关村朝阳园等</w:t>
      </w:r>
      <w:r>
        <w:rPr>
          <w:rFonts w:hint="eastAsia"/>
          <w:color w:val="auto"/>
          <w:szCs w:val="32"/>
          <w:highlight w:val="none"/>
          <w:lang w:eastAsia="zh-CN"/>
        </w:rPr>
        <w:t>“两区”</w:t>
      </w:r>
      <w:r>
        <w:rPr>
          <w:rFonts w:hint="eastAsia"/>
          <w:color w:val="auto"/>
          <w:szCs w:val="32"/>
          <w:highlight w:val="none"/>
        </w:rPr>
        <w:t>重点园区及国家文创实验区等特色园区为依托，</w:t>
      </w:r>
      <w:r>
        <w:rPr>
          <w:rFonts w:hint="eastAsia"/>
          <w:color w:val="auto"/>
          <w:szCs w:val="32"/>
          <w:highlight w:val="none"/>
          <w:lang w:eastAsia="zh-CN"/>
        </w:rPr>
        <w:t>提升</w:t>
      </w:r>
      <w:r>
        <w:rPr>
          <w:rFonts w:hint="eastAsia"/>
          <w:color w:val="auto"/>
          <w:szCs w:val="32"/>
          <w:highlight w:val="none"/>
        </w:rPr>
        <w:t>自贸试验区</w:t>
      </w:r>
      <w:r>
        <w:rPr>
          <w:rFonts w:hint="eastAsia"/>
          <w:color w:val="auto"/>
          <w:szCs w:val="32"/>
          <w:highlight w:val="none"/>
          <w:lang w:eastAsia="zh-CN"/>
        </w:rPr>
        <w:t>发展</w:t>
      </w:r>
      <w:r>
        <w:rPr>
          <w:rFonts w:hint="eastAsia"/>
          <w:color w:val="auto"/>
          <w:szCs w:val="32"/>
          <w:highlight w:val="none"/>
        </w:rPr>
        <w:t>能级</w:t>
      </w:r>
      <w:r>
        <w:rPr>
          <w:rFonts w:hint="eastAsia"/>
          <w:color w:val="auto"/>
          <w:szCs w:val="32"/>
          <w:highlight w:val="none"/>
          <w:lang w:eastAsia="zh-CN"/>
        </w:rPr>
        <w:t>，</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政策与产业需求深度融合，开展系统集成创新，提升国际化发展水平。</w:t>
      </w:r>
    </w:p>
    <w:p w14:paraId="1C731D8D">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56" w:name="_Toc5260"/>
      <w:bookmarkStart w:id="57" w:name="_Toc4825"/>
      <w:bookmarkStart w:id="58" w:name="_Toc6092"/>
      <w:bookmarkStart w:id="59" w:name="_Toc9981"/>
      <w:r>
        <w:rPr>
          <w:rFonts w:hint="eastAsia" w:ascii="Times New Roman" w:hAnsi="Times New Roman" w:eastAsia="黑体" w:cs="黑体"/>
          <w:color w:val="auto"/>
          <w:sz w:val="32"/>
          <w:szCs w:val="32"/>
          <w:highlight w:val="none"/>
          <w:lang w:val="en-US" w:eastAsia="zh-CN"/>
        </w:rPr>
        <w:t>第一节 提升北京自贸试验区朝阳组团国际</w:t>
      </w:r>
      <w:bookmarkEnd w:id="56"/>
      <w:bookmarkEnd w:id="57"/>
      <w:bookmarkEnd w:id="58"/>
      <w:r>
        <w:rPr>
          <w:rFonts w:hint="eastAsia" w:ascii="Times New Roman" w:hAnsi="Times New Roman" w:eastAsia="黑体" w:cs="黑体"/>
          <w:color w:val="auto"/>
          <w:sz w:val="32"/>
          <w:szCs w:val="32"/>
          <w:highlight w:val="none"/>
          <w:lang w:val="en-US" w:eastAsia="zh-CN"/>
        </w:rPr>
        <w:t>资源配置能力</w:t>
      </w:r>
      <w:bookmarkEnd w:id="59"/>
    </w:p>
    <w:p w14:paraId="211D29C9">
      <w:pPr>
        <w:spacing w:line="560" w:lineRule="exact"/>
        <w:ind w:firstLine="643" w:firstLineChars="200"/>
        <w:rPr>
          <w:rFonts w:hint="eastAsia"/>
          <w:color w:val="auto"/>
          <w:szCs w:val="32"/>
          <w:highlight w:val="none"/>
        </w:rPr>
      </w:pPr>
      <w:r>
        <w:rPr>
          <w:rFonts w:hint="eastAsia"/>
          <w:b/>
          <w:bCs/>
          <w:color w:val="auto"/>
          <w:kern w:val="0"/>
          <w:szCs w:val="32"/>
          <w:highlight w:val="none"/>
          <w:lang w:val="en-US" w:eastAsia="zh-CN"/>
        </w:rPr>
        <w:t>打造制度创新前沿阵地。</w:t>
      </w:r>
      <w:r>
        <w:rPr>
          <w:rFonts w:hint="eastAsia"/>
          <w:b w:val="0"/>
          <w:bCs w:val="0"/>
          <w:color w:val="auto"/>
          <w:kern w:val="0"/>
          <w:szCs w:val="32"/>
          <w:highlight w:val="none"/>
          <w:lang w:val="en-US" w:eastAsia="zh-CN"/>
        </w:rPr>
        <w:t>落实自贸试验区提升战略，充分发挥自贸试验区政策优势，</w:t>
      </w:r>
      <w:r>
        <w:rPr>
          <w:rFonts w:hint="eastAsia"/>
          <w:color w:val="auto"/>
          <w:lang w:eastAsia="zh-CN"/>
        </w:rPr>
        <w:t>按照市级安排部署，</w:t>
      </w:r>
      <w:r>
        <w:rPr>
          <w:rFonts w:hint="eastAsia"/>
          <w:color w:val="auto"/>
        </w:rPr>
        <w:t>稳步提升</w:t>
      </w:r>
      <w:r>
        <w:rPr>
          <w:rFonts w:hint="eastAsia"/>
          <w:color w:val="auto"/>
          <w:lang w:eastAsia="zh-CN"/>
        </w:rPr>
        <w:t>自贸试验区内增值电信、生物医药、文化、金融、教育、数据要素、专业服务、跨境贸易等</w:t>
      </w:r>
      <w:r>
        <w:rPr>
          <w:rFonts w:hint="eastAsia"/>
          <w:color w:val="auto"/>
        </w:rPr>
        <w:t>重点领域开放能级</w:t>
      </w:r>
      <w:r>
        <w:rPr>
          <w:rFonts w:hint="eastAsia"/>
          <w:b w:val="0"/>
          <w:bCs w:val="0"/>
          <w:color w:val="auto"/>
          <w:kern w:val="0"/>
          <w:szCs w:val="32"/>
          <w:highlight w:val="none"/>
          <w:lang w:eastAsia="zh-CN"/>
        </w:rPr>
        <w:t>。</w:t>
      </w:r>
      <w:r>
        <w:rPr>
          <w:rFonts w:hint="eastAsia"/>
          <w:color w:val="auto"/>
          <w:szCs w:val="32"/>
          <w:highlight w:val="none"/>
        </w:rPr>
        <w:t>对标国际高标准经贸规则，开展关键领域的开放创新和先行先试，落地一批示范性、标志性项目，形成一批可复制、可推广的改革试点经验</w:t>
      </w:r>
      <w:r>
        <w:rPr>
          <w:rFonts w:hint="eastAsia"/>
          <w:color w:val="auto"/>
          <w:szCs w:val="32"/>
          <w:highlight w:val="none"/>
          <w:lang w:eastAsia="zh-CN"/>
        </w:rPr>
        <w:t>，探索</w:t>
      </w:r>
      <w:r>
        <w:rPr>
          <w:rFonts w:hint="eastAsia" w:ascii="Times New Roman" w:hAnsi="Times New Roman"/>
          <w:color w:val="auto"/>
          <w:szCs w:val="32"/>
          <w:highlight w:val="none"/>
          <w:lang w:val="en-US" w:eastAsia="zh-CN"/>
        </w:rPr>
        <w:t>开展自贸试验区全产业链制度集成创新。</w:t>
      </w:r>
      <w:r>
        <w:rPr>
          <w:rFonts w:hint="eastAsia"/>
          <w:color w:val="auto"/>
          <w:szCs w:val="32"/>
          <w:highlight w:val="none"/>
          <w:lang w:eastAsia="zh-CN"/>
        </w:rPr>
        <w:t>围绕“</w:t>
      </w:r>
      <w:r>
        <w:rPr>
          <w:rFonts w:hint="eastAsia"/>
          <w:color w:val="auto"/>
          <w:szCs w:val="32"/>
          <w:highlight w:val="none"/>
        </w:rPr>
        <w:t>数智、便利</w:t>
      </w:r>
      <w:r>
        <w:rPr>
          <w:rFonts w:hint="eastAsia"/>
          <w:color w:val="auto"/>
          <w:szCs w:val="32"/>
          <w:highlight w:val="none"/>
          <w:lang w:eastAsia="zh-CN"/>
        </w:rPr>
        <w:t>”打造朝阳组团</w:t>
      </w:r>
      <w:r>
        <w:rPr>
          <w:rFonts w:hint="eastAsia"/>
          <w:color w:val="auto"/>
          <w:szCs w:val="32"/>
          <w:highlight w:val="none"/>
        </w:rPr>
        <w:t>自贸品牌</w:t>
      </w:r>
      <w:r>
        <w:rPr>
          <w:rFonts w:hint="eastAsia"/>
          <w:color w:val="auto"/>
          <w:szCs w:val="32"/>
          <w:highlight w:val="none"/>
          <w:lang w:eastAsia="zh-CN"/>
        </w:rPr>
        <w:t>，聚焦</w:t>
      </w:r>
      <w:r>
        <w:rPr>
          <w:rFonts w:hint="eastAsia"/>
          <w:color w:val="auto"/>
        </w:rPr>
        <w:t>法商、金融、消费等主导领域的核心功能场景，鼓励龙头企业或群主企业在CBD布局数据驱动的创新应用场景，推动数据要素和重点产业的深度融通</w:t>
      </w:r>
      <w:r>
        <w:rPr>
          <w:rFonts w:hint="eastAsia"/>
          <w:color w:val="auto"/>
          <w:lang w:eastAsia="zh-CN"/>
        </w:rPr>
        <w:t>；</w:t>
      </w:r>
      <w:r>
        <w:rPr>
          <w:rFonts w:hint="eastAsia"/>
          <w:color w:val="auto"/>
        </w:rPr>
        <w:t>升级北京CBD外资综合服务站，为外资企业提供全生态、全方位、专业化服务，打造“外资进入中国第一站”特色服务品牌。</w:t>
      </w:r>
      <w:r>
        <w:rPr>
          <w:rFonts w:hint="eastAsia"/>
          <w:color w:val="auto"/>
          <w:szCs w:val="32"/>
          <w:highlight w:val="none"/>
          <w:lang w:val="en-US" w:eastAsia="zh-CN"/>
        </w:rPr>
        <w:t>按照市级统一安排，探索设立自贸试验区</w:t>
      </w:r>
      <w:r>
        <w:rPr>
          <w:rFonts w:hint="eastAsia" w:ascii="Times New Roman" w:hAnsi="Times New Roman"/>
          <w:color w:val="auto"/>
          <w:szCs w:val="32"/>
          <w:highlight w:val="none"/>
          <w:lang w:val="en-US" w:eastAsia="zh-CN"/>
        </w:rPr>
        <w:t>联动发展</w:t>
      </w:r>
      <w:r>
        <w:rPr>
          <w:rFonts w:hint="eastAsia"/>
          <w:color w:val="auto"/>
          <w:szCs w:val="32"/>
          <w:highlight w:val="none"/>
          <w:lang w:val="en-US" w:eastAsia="zh-CN"/>
        </w:rPr>
        <w:t>区，在更大范围释放制度创新红利。</w:t>
      </w:r>
      <w:r>
        <w:rPr>
          <w:rFonts w:hint="eastAsia"/>
          <w:color w:val="auto"/>
          <w:szCs w:val="32"/>
          <w:highlight w:val="none"/>
        </w:rPr>
        <w:t>加强京津冀自贸试验区共商共建共享，合力打造区域协同开放典范、全产业链创新高地</w:t>
      </w:r>
      <w:r>
        <w:rPr>
          <w:rFonts w:hint="eastAsia"/>
          <w:color w:val="auto"/>
          <w:szCs w:val="32"/>
          <w:highlight w:val="none"/>
          <w:lang w:eastAsia="zh-CN"/>
        </w:rPr>
        <w:t>。</w:t>
      </w:r>
      <w:r>
        <w:rPr>
          <w:rFonts w:hint="eastAsia"/>
          <w:color w:val="auto"/>
          <w:szCs w:val="32"/>
          <w:highlight w:val="none"/>
        </w:rPr>
        <w:t>依托第四使馆区建设契机，在金盏国际合作服务区加快打造国际交往新主场，国际交往空间启动建设。</w:t>
      </w:r>
    </w:p>
    <w:p w14:paraId="730BE774">
      <w:pPr>
        <w:tabs>
          <w:tab w:val="left" w:pos="960"/>
        </w:tabs>
        <w:spacing w:line="560" w:lineRule="exact"/>
        <w:ind w:firstLine="643" w:firstLineChars="200"/>
        <w:rPr>
          <w:rFonts w:hint="eastAsia"/>
          <w:color w:val="auto"/>
          <w:kern w:val="0"/>
          <w:szCs w:val="32"/>
          <w:highlight w:val="none"/>
        </w:rPr>
      </w:pPr>
      <w:r>
        <w:rPr>
          <w:rFonts w:hint="eastAsia"/>
          <w:b/>
          <w:bCs/>
          <w:color w:val="auto"/>
          <w:szCs w:val="32"/>
          <w:highlight w:val="none"/>
          <w:lang w:val="en-US" w:eastAsia="zh-CN"/>
        </w:rPr>
        <w:t>构建国际一流商务中心区。</w:t>
      </w:r>
      <w:r>
        <w:rPr>
          <w:rFonts w:hint="eastAsia"/>
          <w:b w:val="0"/>
          <w:bCs w:val="0"/>
          <w:color w:val="auto"/>
          <w:highlight w:val="none"/>
        </w:rPr>
        <w:t>打造国际交往重要窗口</w:t>
      </w:r>
      <w:r>
        <w:rPr>
          <w:rFonts w:hint="eastAsia"/>
          <w:color w:val="auto"/>
          <w:highlight w:val="none"/>
          <w:lang w:eastAsia="zh-CN"/>
        </w:rPr>
        <w:t>，</w:t>
      </w:r>
      <w:r>
        <w:rPr>
          <w:rFonts w:hint="eastAsia"/>
          <w:color w:val="auto"/>
          <w:highlight w:val="none"/>
        </w:rPr>
        <w:t>充分发挥外国驻华使馆、国际组织、国际金融机构、国际新闻媒体等资源集聚优势，</w:t>
      </w:r>
      <w:r>
        <w:rPr>
          <w:rFonts w:hint="eastAsia"/>
          <w:b w:val="0"/>
          <w:bCs w:val="0"/>
          <w:color w:val="auto"/>
        </w:rPr>
        <w:t>打造高能级国际</w:t>
      </w:r>
      <w:r>
        <w:rPr>
          <w:rFonts w:hint="eastAsia"/>
          <w:b w:val="0"/>
          <w:bCs w:val="0"/>
          <w:color w:val="auto"/>
          <w:lang w:eastAsia="zh-CN"/>
        </w:rPr>
        <w:t>交流合作</w:t>
      </w:r>
      <w:r>
        <w:rPr>
          <w:rFonts w:hint="eastAsia"/>
          <w:b w:val="0"/>
          <w:bCs w:val="0"/>
          <w:color w:val="auto"/>
        </w:rPr>
        <w:t>平台</w:t>
      </w:r>
      <w:r>
        <w:rPr>
          <w:rFonts w:hint="eastAsia"/>
          <w:b w:val="0"/>
          <w:bCs w:val="0"/>
          <w:color w:val="auto"/>
          <w:lang w:eastAsia="zh-CN"/>
        </w:rPr>
        <w:t>。</w:t>
      </w:r>
      <w:r>
        <w:rPr>
          <w:rFonts w:hint="eastAsia"/>
          <w:color w:val="auto"/>
          <w:kern w:val="0"/>
          <w:szCs w:val="32"/>
          <w:highlight w:val="none"/>
        </w:rPr>
        <w:t>对标国家级论坛品质标准，高水平办好北京CBD论坛，持续提升链接世界资源、凝聚全球智慧、深化国际合作的水平</w:t>
      </w:r>
      <w:r>
        <w:rPr>
          <w:rFonts w:hint="eastAsia"/>
          <w:color w:val="auto"/>
        </w:rPr>
        <w:t>，持续办好跨国公司全球董事会等国际化旗舰活动。构建C</w:t>
      </w:r>
      <w:r>
        <w:rPr>
          <w:color w:val="auto"/>
        </w:rPr>
        <w:t>BD</w:t>
      </w:r>
      <w:r>
        <w:rPr>
          <w:rFonts w:hint="eastAsia"/>
          <w:color w:val="auto"/>
        </w:rPr>
        <w:t>全球商务会客厅体系</w:t>
      </w:r>
      <w:r>
        <w:rPr>
          <w:rFonts w:hint="eastAsia"/>
          <w:color w:val="auto"/>
          <w:lang w:eastAsia="zh-CN"/>
        </w:rPr>
        <w:t>，</w:t>
      </w:r>
      <w:r>
        <w:rPr>
          <w:rFonts w:hint="eastAsia"/>
          <w:color w:val="auto"/>
        </w:rPr>
        <w:t>打造灵活多样的国际交往活动场景。</w:t>
      </w:r>
      <w:r>
        <w:rPr>
          <w:rFonts w:hint="eastAsia"/>
          <w:color w:val="auto"/>
          <w:kern w:val="0"/>
          <w:szCs w:val="32"/>
          <w:highlight w:val="none"/>
        </w:rPr>
        <w:t>用好全球商务区创新联合会平台，发挥好主席机构任期影响力，</w:t>
      </w:r>
      <w:r>
        <w:rPr>
          <w:color w:val="auto"/>
          <w:szCs w:val="32"/>
          <w:highlight w:val="none"/>
        </w:rPr>
        <w:t>进一步拓宽全球合作网络与资源引聚渠道</w:t>
      </w:r>
      <w:r>
        <w:rPr>
          <w:rFonts w:hint="eastAsia"/>
          <w:color w:val="auto"/>
          <w:kern w:val="0"/>
          <w:szCs w:val="32"/>
          <w:highlight w:val="none"/>
        </w:rPr>
        <w:t>。</w:t>
      </w:r>
      <w:r>
        <w:rPr>
          <w:rFonts w:hint="eastAsia"/>
          <w:b w:val="0"/>
          <w:bCs w:val="0"/>
          <w:color w:val="auto"/>
          <w:highlight w:val="none"/>
        </w:rPr>
        <w:t>打造现代服务业集聚高地</w:t>
      </w:r>
      <w:r>
        <w:rPr>
          <w:rFonts w:hint="eastAsia"/>
          <w:b w:val="0"/>
          <w:bCs w:val="0"/>
          <w:color w:val="auto"/>
          <w:highlight w:val="none"/>
          <w:lang w:eastAsia="zh-CN"/>
        </w:rPr>
        <w:t>，</w:t>
      </w:r>
      <w:r>
        <w:rPr>
          <w:rFonts w:hint="eastAsia" w:ascii="Times New Roman" w:hAnsi="Times New Roman" w:cs="仿宋_GB2312"/>
          <w:color w:val="auto"/>
          <w:highlight w:val="none"/>
          <w:lang w:bidi="ar"/>
        </w:rPr>
        <w:t>突出高端引领，筑牢金融、商务等主导产业发展根基</w:t>
      </w:r>
      <w:r>
        <w:rPr>
          <w:rFonts w:hint="eastAsia" w:ascii="Times New Roman" w:hAnsi="Times New Roman" w:cs="仿宋_GB2312"/>
          <w:color w:val="auto"/>
          <w:highlight w:val="none"/>
          <w:lang w:eastAsia="zh-CN" w:bidi="ar"/>
        </w:rPr>
        <w:t>。</w:t>
      </w:r>
      <w:r>
        <w:rPr>
          <w:rFonts w:hint="eastAsia" w:ascii="Times New Roman" w:hAnsi="Times New Roman" w:cs="仿宋_GB2312"/>
          <w:b w:val="0"/>
          <w:bCs w:val="0"/>
          <w:color w:val="auto"/>
          <w:highlight w:val="none"/>
          <w:lang w:eastAsia="zh-CN" w:bidi="ar"/>
        </w:rPr>
        <w:t>建设</w:t>
      </w:r>
      <w:r>
        <w:rPr>
          <w:rFonts w:hint="eastAsia" w:ascii="Times New Roman" w:hAnsi="Times New Roman" w:cs="仿宋_GB2312"/>
          <w:color w:val="auto"/>
          <w:highlight w:val="none"/>
          <w:lang w:bidi="ar"/>
        </w:rPr>
        <w:t>特色鲜明的</w:t>
      </w:r>
      <w:r>
        <w:rPr>
          <w:rFonts w:hint="eastAsia"/>
          <w:color w:val="auto"/>
          <w:highlight w:val="none"/>
        </w:rPr>
        <w:t>C</w:t>
      </w:r>
      <w:r>
        <w:rPr>
          <w:color w:val="auto"/>
          <w:highlight w:val="none"/>
        </w:rPr>
        <w:t>BD</w:t>
      </w:r>
      <w:r>
        <w:rPr>
          <w:rFonts w:hint="eastAsia" w:ascii="Times New Roman" w:hAnsi="Times New Roman" w:cs="仿宋_GB2312"/>
          <w:color w:val="auto"/>
          <w:highlight w:val="none"/>
          <w:lang w:bidi="ar"/>
        </w:rPr>
        <w:t>国际金融聚集区</w:t>
      </w:r>
      <w:r>
        <w:rPr>
          <w:color w:val="auto"/>
          <w:szCs w:val="32"/>
          <w:highlight w:val="none"/>
          <w:lang w:eastAsia="zh" w:bidi="ar"/>
        </w:rPr>
        <w:t>，</w:t>
      </w:r>
      <w:r>
        <w:rPr>
          <w:rFonts w:hint="eastAsia"/>
          <w:color w:val="auto"/>
          <w:szCs w:val="32"/>
          <w:highlight w:val="none"/>
          <w:lang w:eastAsia="zh-CN" w:bidi="ar"/>
        </w:rPr>
        <w:t>着力</w:t>
      </w:r>
      <w:r>
        <w:rPr>
          <w:rFonts w:hint="eastAsia"/>
          <w:color w:val="auto"/>
          <w:szCs w:val="32"/>
          <w:highlight w:val="none"/>
          <w:lang w:bidi="ar"/>
        </w:rPr>
        <w:t>吸引</w:t>
      </w:r>
      <w:r>
        <w:rPr>
          <w:color w:val="auto"/>
          <w:szCs w:val="32"/>
          <w:highlight w:val="none"/>
          <w:lang w:bidi="ar"/>
        </w:rPr>
        <w:t>境内外银行、证券</w:t>
      </w:r>
      <w:r>
        <w:rPr>
          <w:rFonts w:hint="eastAsia"/>
          <w:color w:val="auto"/>
          <w:szCs w:val="32"/>
          <w:highlight w:val="none"/>
          <w:lang w:eastAsia="zh-CN" w:bidi="ar"/>
        </w:rPr>
        <w:t>、</w:t>
      </w:r>
      <w:r>
        <w:rPr>
          <w:color w:val="auto"/>
          <w:szCs w:val="32"/>
          <w:highlight w:val="none"/>
          <w:lang w:bidi="ar"/>
        </w:rPr>
        <w:t>国际金融组织等机构入驻</w:t>
      </w:r>
      <w:r>
        <w:rPr>
          <w:rFonts w:hint="eastAsia"/>
          <w:color w:val="auto"/>
          <w:szCs w:val="32"/>
          <w:highlight w:val="none"/>
          <w:lang w:eastAsia="zh-CN" w:bidi="ar"/>
        </w:rPr>
        <w:t>集聚</w:t>
      </w:r>
      <w:r>
        <w:rPr>
          <w:rFonts w:hint="eastAsia"/>
          <w:color w:val="auto"/>
          <w:szCs w:val="32"/>
          <w:highlight w:val="none"/>
          <w:lang w:bidi="ar"/>
        </w:rPr>
        <w:t>，</w:t>
      </w:r>
      <w:r>
        <w:rPr>
          <w:rFonts w:hint="eastAsia" w:ascii="Times New Roman" w:hAnsi="Times New Roman" w:cs="仿宋_GB2312"/>
          <w:b w:val="0"/>
          <w:bCs w:val="0"/>
          <w:color w:val="auto"/>
          <w:szCs w:val="32"/>
          <w:lang w:bidi="ar"/>
        </w:rPr>
        <w:t>培育高能级国际金融机构集聚高地</w:t>
      </w:r>
      <w:r>
        <w:rPr>
          <w:rFonts w:hint="eastAsia" w:ascii="Times New Roman" w:hAnsi="Times New Roman" w:cs="仿宋_GB2312"/>
          <w:b w:val="0"/>
          <w:bCs w:val="0"/>
          <w:color w:val="auto"/>
          <w:szCs w:val="32"/>
          <w:lang w:eastAsia="zh-CN" w:bidi="ar"/>
        </w:rPr>
        <w:t>。</w:t>
      </w:r>
      <w:r>
        <w:rPr>
          <w:rFonts w:hint="eastAsia" w:ascii="Times New Roman" w:hAnsi="Times New Roman" w:cs="仿宋_GB2312"/>
          <w:b w:val="0"/>
          <w:bCs w:val="0"/>
          <w:color w:val="auto"/>
          <w:highlight w:val="none"/>
          <w:lang w:bidi="ar"/>
        </w:rPr>
        <w:t>提升</w:t>
      </w:r>
      <w:r>
        <w:rPr>
          <w:rFonts w:hint="eastAsia" w:ascii="Times New Roman" w:hAnsi="Times New Roman" w:cs="仿宋_GB2312"/>
          <w:color w:val="auto"/>
          <w:highlight w:val="none"/>
          <w:lang w:bidi="ar"/>
        </w:rPr>
        <w:t>商务</w:t>
      </w:r>
      <w:r>
        <w:rPr>
          <w:rFonts w:hint="eastAsia" w:ascii="Times New Roman" w:hAnsi="Times New Roman" w:cs="仿宋_GB2312"/>
          <w:color w:val="auto"/>
          <w:highlight w:val="none"/>
          <w:lang w:eastAsia="zh-CN" w:bidi="ar"/>
        </w:rPr>
        <w:t>服务</w:t>
      </w:r>
      <w:r>
        <w:rPr>
          <w:rFonts w:hint="eastAsia" w:ascii="Times New Roman" w:hAnsi="Times New Roman" w:cs="仿宋_GB2312"/>
          <w:color w:val="auto"/>
          <w:highlight w:val="none"/>
          <w:lang w:bidi="ar"/>
        </w:rPr>
        <w:t>国际竞争力</w:t>
      </w:r>
      <w:r>
        <w:rPr>
          <w:rFonts w:hint="eastAsia" w:ascii="Times New Roman" w:hAnsi="Times New Roman" w:cs="仿宋_GB2312"/>
          <w:color w:val="auto"/>
          <w:highlight w:val="none"/>
          <w:lang w:eastAsia="zh-CN" w:bidi="ar"/>
        </w:rPr>
        <w:t>，</w:t>
      </w:r>
      <w:r>
        <w:rPr>
          <w:rFonts w:hint="eastAsia"/>
          <w:color w:val="auto"/>
          <w:lang w:bidi="ar"/>
        </w:rPr>
        <w:t>持续引进国内外知名法律、会计、广告、知识产权等具备国际服务功能的专业服务机构，提高专业服务业态数字化交付能力和水平，推动商务服务业向高端化、智能化、规模化升级。</w:t>
      </w:r>
    </w:p>
    <w:p w14:paraId="30438F60">
      <w:pPr>
        <w:spacing w:line="560" w:lineRule="exact"/>
        <w:ind w:firstLine="643" w:firstLineChars="200"/>
        <w:jc w:val="left"/>
        <w:rPr>
          <w:b/>
          <w:bCs/>
          <w:color w:val="auto"/>
          <w:kern w:val="0"/>
          <w:szCs w:val="32"/>
          <w:highlight w:val="none"/>
        </w:rPr>
      </w:pPr>
      <w:bookmarkStart w:id="60" w:name="_Hlk218093267"/>
      <w:r>
        <w:rPr>
          <w:rFonts w:hint="eastAsia"/>
          <w:b/>
          <w:bCs/>
          <w:color w:val="auto"/>
          <w:kern w:val="0"/>
          <w:szCs w:val="32"/>
          <w:highlight w:val="none"/>
          <w:lang w:val="en-US" w:eastAsia="zh-CN"/>
        </w:rPr>
        <w:t>推动</w:t>
      </w:r>
      <w:r>
        <w:rPr>
          <w:rFonts w:hint="eastAsia"/>
          <w:b/>
          <w:bCs/>
          <w:color w:val="auto"/>
          <w:kern w:val="0"/>
          <w:szCs w:val="32"/>
          <w:highlight w:val="none"/>
        </w:rPr>
        <w:t>国际法商融合示范</w:t>
      </w:r>
      <w:r>
        <w:rPr>
          <w:rFonts w:hint="eastAsia"/>
          <w:b/>
          <w:bCs/>
          <w:color w:val="auto"/>
          <w:kern w:val="0"/>
          <w:szCs w:val="32"/>
          <w:highlight w:val="none"/>
          <w:lang w:val="en-US" w:eastAsia="zh-CN"/>
        </w:rPr>
        <w:t>先行</w:t>
      </w:r>
      <w:r>
        <w:rPr>
          <w:rFonts w:hint="eastAsia"/>
          <w:b/>
          <w:bCs/>
          <w:color w:val="auto"/>
          <w:kern w:val="0"/>
          <w:szCs w:val="32"/>
          <w:highlight w:val="none"/>
        </w:rPr>
        <w:t>。</w:t>
      </w:r>
      <w:r>
        <w:rPr>
          <w:rFonts w:hint="eastAsia"/>
          <w:b w:val="0"/>
          <w:bCs w:val="0"/>
          <w:color w:val="auto"/>
          <w:kern w:val="0"/>
          <w:szCs w:val="32"/>
          <w:highlight w:val="none"/>
          <w:lang w:eastAsia="zh-CN"/>
        </w:rPr>
        <w:t>着力推动北京国际法商融合示范区建设，</w:t>
      </w:r>
      <w:r>
        <w:rPr>
          <w:rFonts w:hint="eastAsia"/>
          <w:color w:val="auto"/>
        </w:rPr>
        <w:t>构建CBD国际法商服务生态矩阵，着力构建诉讼、仲裁和调解有机衔接、相互促进的多元化国际商事纠纷解决体系。</w:t>
      </w:r>
      <w:r>
        <w:rPr>
          <w:rFonts w:hint="eastAsia"/>
          <w:b w:val="0"/>
          <w:bCs w:val="0"/>
          <w:color w:val="auto"/>
          <w:kern w:val="0"/>
          <w:szCs w:val="32"/>
          <w:highlight w:val="none"/>
          <w:lang w:eastAsia="zh-CN"/>
        </w:rPr>
        <w:t>持续优化法治服务生态</w:t>
      </w:r>
      <w:r>
        <w:rPr>
          <w:rFonts w:hint="eastAsia" w:eastAsia="仿宋_GB2312"/>
          <w:b w:val="0"/>
          <w:bCs w:val="0"/>
          <w:color w:val="auto"/>
          <w:sz w:val="32"/>
          <w:szCs w:val="22"/>
          <w:highlight w:val="none"/>
        </w:rPr>
        <w:t>，</w:t>
      </w:r>
      <w:r>
        <w:rPr>
          <w:rFonts w:hint="eastAsia" w:eastAsia="仿宋_GB2312"/>
          <w:color w:val="auto"/>
          <w:sz w:val="32"/>
          <w:szCs w:val="22"/>
          <w:highlight w:val="none"/>
        </w:rPr>
        <w:t>完善法治服务矩阵及巡回审判机制</w:t>
      </w:r>
      <w:r>
        <w:rPr>
          <w:rFonts w:hint="eastAsia"/>
          <w:color w:val="auto"/>
          <w:kern w:val="0"/>
          <w:szCs w:val="32"/>
          <w:highlight w:val="none"/>
          <w:lang w:eastAsia="zh-CN"/>
        </w:rPr>
        <w:t>，</w:t>
      </w:r>
      <w:r>
        <w:rPr>
          <w:rFonts w:hint="eastAsia"/>
          <w:color w:val="auto"/>
          <w:kern w:val="0"/>
          <w:szCs w:val="32"/>
          <w:highlight w:val="none"/>
        </w:rPr>
        <w:t>优化国际商事调解服务，</w:t>
      </w:r>
      <w:r>
        <w:rPr>
          <w:rFonts w:hint="eastAsia"/>
          <w:color w:val="auto"/>
          <w:highlight w:val="none"/>
        </w:rPr>
        <w:t>大力引进涉外法律、境外税务、公证等高端专业服务业，</w:t>
      </w:r>
      <w:r>
        <w:rPr>
          <w:rFonts w:hint="eastAsia"/>
          <w:color w:val="auto"/>
          <w:kern w:val="0"/>
          <w:szCs w:val="32"/>
          <w:highlight w:val="none"/>
        </w:rPr>
        <w:t>推动鉴定、公证、法律查明、法务会计等泛法务资源集聚</w:t>
      </w:r>
      <w:r>
        <w:rPr>
          <w:rFonts w:hint="eastAsia"/>
          <w:color w:val="auto"/>
          <w:sz w:val="32"/>
          <w:szCs w:val="22"/>
          <w:highlight w:val="none"/>
          <w:lang w:eastAsia="zh-CN"/>
        </w:rPr>
        <w:t>。</w:t>
      </w:r>
      <w:r>
        <w:rPr>
          <w:rFonts w:hint="eastAsia"/>
          <w:b w:val="0"/>
          <w:bCs w:val="0"/>
          <w:color w:val="auto"/>
          <w:kern w:val="0"/>
          <w:szCs w:val="32"/>
          <w:highlight w:val="none"/>
        </w:rPr>
        <w:t>提升法商综合服务效能，</w:t>
      </w:r>
      <w:r>
        <w:rPr>
          <w:rFonts w:hint="eastAsia"/>
          <w:color w:val="auto"/>
          <w:kern w:val="0"/>
          <w:szCs w:val="32"/>
          <w:highlight w:val="none"/>
        </w:rPr>
        <w:t>深化法商综合服务中心等平台功能建设，为企业提供政务事项办理、法律服务、公证服务、涉外人才培训等一站式服务，推动律师事务所服务机制创新，</w:t>
      </w:r>
      <w:r>
        <w:rPr>
          <w:rFonts w:hint="eastAsia"/>
          <w:color w:val="auto"/>
          <w:kern w:val="0"/>
          <w:szCs w:val="32"/>
          <w:highlight w:val="none"/>
          <w:lang w:eastAsia="zh-CN"/>
        </w:rPr>
        <w:t>强化知识产权风险防范和纠纷解决。畅通关键要素流动，</w:t>
      </w:r>
      <w:r>
        <w:rPr>
          <w:rFonts w:hint="eastAsia"/>
          <w:color w:val="auto"/>
          <w:kern w:val="0"/>
          <w:szCs w:val="32"/>
          <w:highlight w:val="none"/>
        </w:rPr>
        <w:t>推动</w:t>
      </w:r>
      <w:r>
        <w:rPr>
          <w:rFonts w:hint="eastAsia"/>
          <w:color w:val="auto"/>
          <w:kern w:val="0"/>
          <w:szCs w:val="32"/>
          <w:highlight w:val="none"/>
          <w:lang w:eastAsia="zh-CN"/>
        </w:rPr>
        <w:t>优化跨境金融服务、知识产权金融服务保障，促进</w:t>
      </w:r>
      <w:r>
        <w:rPr>
          <w:rFonts w:hint="eastAsia"/>
          <w:color w:val="auto"/>
          <w:kern w:val="0"/>
          <w:szCs w:val="32"/>
          <w:highlight w:val="none"/>
        </w:rPr>
        <w:t>法商</w:t>
      </w:r>
      <w:r>
        <w:rPr>
          <w:rFonts w:hint="eastAsia"/>
          <w:color w:val="auto"/>
          <w:kern w:val="0"/>
          <w:szCs w:val="32"/>
          <w:highlight w:val="none"/>
          <w:lang w:eastAsia="zh-CN"/>
        </w:rPr>
        <w:t>数据</w:t>
      </w:r>
      <w:r>
        <w:rPr>
          <w:rFonts w:hint="eastAsia"/>
          <w:color w:val="auto"/>
          <w:kern w:val="0"/>
          <w:szCs w:val="32"/>
          <w:highlight w:val="none"/>
        </w:rPr>
        <w:t>流动</w:t>
      </w:r>
      <w:r>
        <w:rPr>
          <w:rFonts w:hint="eastAsia"/>
          <w:color w:val="auto"/>
          <w:kern w:val="0"/>
          <w:szCs w:val="32"/>
          <w:highlight w:val="none"/>
          <w:lang w:eastAsia="zh-CN"/>
        </w:rPr>
        <w:t>和利用，提高互联网信息服务便利度</w:t>
      </w:r>
      <w:r>
        <w:rPr>
          <w:rFonts w:hint="eastAsia"/>
          <w:color w:val="auto"/>
          <w:kern w:val="0"/>
          <w:szCs w:val="32"/>
          <w:highlight w:val="none"/>
        </w:rPr>
        <w:t>。</w:t>
      </w:r>
      <w:r>
        <w:rPr>
          <w:rFonts w:hint="eastAsia"/>
          <w:b w:val="0"/>
          <w:bCs w:val="0"/>
          <w:color w:val="auto"/>
        </w:rPr>
        <w:t>创新法商服务模式</w:t>
      </w:r>
      <w:r>
        <w:rPr>
          <w:rFonts w:hint="eastAsia"/>
          <w:b w:val="0"/>
          <w:bCs w:val="0"/>
          <w:color w:val="auto"/>
          <w:lang w:eastAsia="zh-CN"/>
        </w:rPr>
        <w:t>，</w:t>
      </w:r>
      <w:r>
        <w:rPr>
          <w:rFonts w:hint="eastAsia"/>
          <w:color w:val="auto"/>
        </w:rPr>
        <w:t>探索发放法商融合服务券，专项用于购买法律服务咨询、知识产权保护、财务会计审计等法商服务，降低企业获取高端专业服务门槛，培育壮大法商服务市场</w:t>
      </w:r>
      <w:r>
        <w:rPr>
          <w:rFonts w:hint="eastAsia"/>
          <w:color w:val="auto"/>
          <w:lang w:eastAsia="zh-CN"/>
        </w:rPr>
        <w:t>。</w:t>
      </w:r>
      <w:r>
        <w:rPr>
          <w:rFonts w:hint="eastAsia"/>
          <w:color w:val="auto"/>
        </w:rPr>
        <w:t>设立CBD知识产权工作站，联合优质知识产权服务机构为重点产业和企业提供知识产权咨询、预警、维权等一站式服务</w:t>
      </w:r>
      <w:r>
        <w:rPr>
          <w:rFonts w:hint="eastAsia"/>
          <w:color w:val="auto"/>
          <w:lang w:eastAsia="zh-CN"/>
        </w:rPr>
        <w:t>。</w:t>
      </w:r>
      <w:r>
        <w:rPr>
          <w:rFonts w:hint="eastAsia"/>
          <w:b w:val="0"/>
          <w:bCs w:val="0"/>
          <w:color w:val="auto"/>
          <w:kern w:val="0"/>
          <w:szCs w:val="32"/>
          <w:highlight w:val="none"/>
        </w:rPr>
        <w:t>加强法商融合品牌建设，</w:t>
      </w:r>
      <w:r>
        <w:rPr>
          <w:rFonts w:hint="eastAsia"/>
          <w:color w:val="auto"/>
          <w:kern w:val="0"/>
          <w:szCs w:val="32"/>
          <w:highlight w:val="none"/>
          <w:lang w:eastAsia="zh-CN"/>
        </w:rPr>
        <w:t>提升共建“</w:t>
      </w:r>
      <w:r>
        <w:rPr>
          <w:rFonts w:hint="eastAsia"/>
          <w:color w:val="auto"/>
          <w:kern w:val="0"/>
          <w:szCs w:val="32"/>
          <w:highlight w:val="none"/>
        </w:rPr>
        <w:t>一带一路</w:t>
      </w:r>
      <w:r>
        <w:rPr>
          <w:rFonts w:hint="eastAsia"/>
          <w:color w:val="auto"/>
          <w:kern w:val="0"/>
          <w:szCs w:val="32"/>
          <w:highlight w:val="none"/>
          <w:lang w:eastAsia="zh-CN"/>
        </w:rPr>
        <w:t>”国家服务能力，</w:t>
      </w:r>
      <w:r>
        <w:rPr>
          <w:rFonts w:hint="eastAsia"/>
          <w:color w:val="auto"/>
          <w:kern w:val="0"/>
          <w:szCs w:val="32"/>
          <w:highlight w:val="none"/>
        </w:rPr>
        <w:t>吸引</w:t>
      </w:r>
      <w:r>
        <w:rPr>
          <w:rFonts w:hint="eastAsia"/>
          <w:color w:val="auto"/>
          <w:kern w:val="0"/>
          <w:szCs w:val="32"/>
          <w:highlight w:val="none"/>
          <w:lang w:eastAsia="zh-CN"/>
        </w:rPr>
        <w:t>“</w:t>
      </w:r>
      <w:r>
        <w:rPr>
          <w:rFonts w:hint="eastAsia"/>
          <w:color w:val="auto"/>
          <w:kern w:val="0"/>
          <w:szCs w:val="32"/>
          <w:highlight w:val="none"/>
        </w:rPr>
        <w:t>一带一路</w:t>
      </w:r>
      <w:r>
        <w:rPr>
          <w:rFonts w:hint="eastAsia"/>
          <w:color w:val="auto"/>
          <w:kern w:val="0"/>
          <w:szCs w:val="32"/>
          <w:highlight w:val="none"/>
          <w:lang w:eastAsia="zh-CN"/>
        </w:rPr>
        <w:t>”</w:t>
      </w:r>
      <w:r>
        <w:rPr>
          <w:rFonts w:hint="eastAsia"/>
          <w:color w:val="auto"/>
          <w:kern w:val="0"/>
          <w:szCs w:val="32"/>
          <w:highlight w:val="none"/>
        </w:rPr>
        <w:t>法律服务联盟等具有全球影响力的国际组织落地，</w:t>
      </w:r>
      <w:r>
        <w:rPr>
          <w:rFonts w:hint="eastAsia"/>
          <w:color w:val="auto"/>
          <w:kern w:val="0"/>
          <w:szCs w:val="32"/>
          <w:highlight w:val="none"/>
          <w:lang w:eastAsia="zh-CN"/>
        </w:rPr>
        <w:t>构建开放合作发展格局</w:t>
      </w:r>
      <w:r>
        <w:rPr>
          <w:rFonts w:hint="eastAsia"/>
          <w:color w:val="auto"/>
          <w:kern w:val="0"/>
          <w:szCs w:val="32"/>
          <w:highlight w:val="none"/>
        </w:rPr>
        <w:t>。</w:t>
      </w:r>
      <w:bookmarkEnd w:id="60"/>
      <w:r>
        <w:rPr>
          <w:rFonts w:hint="eastAsia"/>
          <w:color w:val="auto"/>
          <w:kern w:val="0"/>
          <w:szCs w:val="32"/>
          <w:highlight w:val="none"/>
        </w:rPr>
        <w:t>深化法商融合领域国际交流与合作，加强复合型、高层次法商人才培养，构建开放合作的发展格局。</w:t>
      </w:r>
    </w:p>
    <w:p w14:paraId="11BF48C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61" w:name="_Toc6509"/>
      <w:bookmarkStart w:id="62" w:name="_Toc8752"/>
      <w:bookmarkStart w:id="63" w:name="_Toc9780"/>
      <w:bookmarkStart w:id="64" w:name="_Toc25430"/>
      <w:r>
        <w:rPr>
          <w:rFonts w:hint="eastAsia" w:ascii="Times New Roman" w:hAnsi="Times New Roman" w:eastAsia="黑体" w:cs="黑体"/>
          <w:color w:val="auto"/>
          <w:sz w:val="32"/>
          <w:szCs w:val="32"/>
          <w:highlight w:val="none"/>
          <w:lang w:val="en-US" w:eastAsia="zh-CN"/>
        </w:rPr>
        <w:t>第二节 增强中关村朝阳园</w:t>
      </w:r>
      <w:bookmarkEnd w:id="61"/>
      <w:bookmarkEnd w:id="62"/>
      <w:bookmarkEnd w:id="63"/>
      <w:r>
        <w:rPr>
          <w:rFonts w:hint="eastAsia" w:ascii="Times New Roman" w:hAnsi="Times New Roman" w:eastAsia="黑体" w:cs="黑体"/>
          <w:color w:val="auto"/>
          <w:sz w:val="32"/>
          <w:szCs w:val="32"/>
          <w:highlight w:val="none"/>
          <w:lang w:val="en-US" w:eastAsia="zh-CN"/>
        </w:rPr>
        <w:t>创新引领功能</w:t>
      </w:r>
      <w:bookmarkEnd w:id="64"/>
    </w:p>
    <w:p w14:paraId="5FBB1745">
      <w:pPr>
        <w:widowControl/>
        <w:adjustRightInd w:val="0"/>
        <w:snapToGrid w:val="0"/>
        <w:spacing w:after="0" w:line="560" w:lineRule="exact"/>
        <w:ind w:firstLine="643"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b/>
          <w:bCs/>
          <w:color w:val="auto"/>
          <w:szCs w:val="32"/>
          <w:highlight w:val="none"/>
          <w:lang w:val="en-US" w:bidi="zh-CN"/>
        </w:rPr>
        <w:t>打造世界领先科技园区新引擎。</w:t>
      </w:r>
      <w:r>
        <w:rPr>
          <w:rFonts w:hint="eastAsia" w:ascii="Times New Roman" w:hAnsi="Times New Roman" w:eastAsia="仿宋_GB2312" w:cs="Times New Roman"/>
          <w:color w:val="auto"/>
          <w:kern w:val="0"/>
          <w:sz w:val="32"/>
          <w:szCs w:val="32"/>
          <w:highlight w:val="none"/>
          <w:lang w:val="en-US" w:eastAsia="zh-CN" w:bidi="ar-SA"/>
        </w:rPr>
        <w:t>加强中关村朝阳园科技创新主阵地作用，积极推动空间规模和布局优化调整，探索推动中关村朝阳园</w:t>
      </w:r>
      <w:r>
        <w:rPr>
          <w:rFonts w:hint="eastAsia" w:cs="Times New Roman"/>
          <w:color w:val="auto"/>
          <w:kern w:val="0"/>
          <w:sz w:val="32"/>
          <w:szCs w:val="32"/>
          <w:highlight w:val="none"/>
          <w:lang w:val="en-US" w:eastAsia="zh-CN" w:bidi="ar-SA"/>
        </w:rPr>
        <w:t>符合条件的区域</w:t>
      </w:r>
      <w:r>
        <w:rPr>
          <w:rFonts w:hint="eastAsia" w:ascii="Times New Roman" w:hAnsi="Times New Roman" w:eastAsia="仿宋_GB2312" w:cs="Times New Roman"/>
          <w:color w:val="auto"/>
          <w:kern w:val="0"/>
          <w:sz w:val="32"/>
          <w:szCs w:val="32"/>
          <w:highlight w:val="none"/>
          <w:lang w:val="en-US" w:eastAsia="zh-CN" w:bidi="ar-SA"/>
        </w:rPr>
        <w:t>纳入自贸试验区联动发展区，聚焦特色产业联动发展</w:t>
      </w:r>
      <w:r>
        <w:rPr>
          <w:rFonts w:hint="eastAsia" w:cs="Times New Roman"/>
          <w:color w:val="auto"/>
          <w:kern w:val="0"/>
          <w:sz w:val="32"/>
          <w:szCs w:val="32"/>
          <w:highlight w:val="none"/>
          <w:lang w:val="en-US" w:eastAsia="zh-CN" w:bidi="ar-SA"/>
        </w:rPr>
        <w:t>。</w:t>
      </w:r>
      <w:r>
        <w:rPr>
          <w:rFonts w:hint="eastAsia"/>
          <w:b w:val="0"/>
          <w:bCs w:val="0"/>
          <w:color w:val="auto"/>
          <w:kern w:val="0"/>
          <w:sz w:val="32"/>
          <w:szCs w:val="32"/>
          <w:highlight w:val="none"/>
          <w:lang w:val="en-US" w:bidi="ar-SA"/>
        </w:rPr>
        <w:t>依托各片区集聚发展优势产业</w:t>
      </w:r>
      <w:r>
        <w:rPr>
          <w:rFonts w:hint="eastAsia"/>
          <w:b w:val="0"/>
          <w:bCs w:val="0"/>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深化创新策源与科技成果转化，提升“3+X+N”</w:t>
      </w:r>
      <w:r>
        <w:rPr>
          <w:rFonts w:hint="eastAsia" w:cs="Times New Roman"/>
          <w:color w:val="auto"/>
          <w:kern w:val="0"/>
          <w:sz w:val="32"/>
          <w:szCs w:val="32"/>
          <w:highlight w:val="none"/>
          <w:lang w:val="en-US" w:eastAsia="zh-CN" w:bidi="ar-SA"/>
        </w:rPr>
        <w:t>产业集</w:t>
      </w:r>
      <w:r>
        <w:rPr>
          <w:rFonts w:hint="eastAsia" w:ascii="Times New Roman" w:hAnsi="Times New Roman" w:eastAsia="仿宋_GB2312" w:cs="Times New Roman"/>
          <w:color w:val="auto"/>
          <w:kern w:val="0"/>
          <w:sz w:val="32"/>
          <w:szCs w:val="32"/>
          <w:highlight w:val="none"/>
          <w:lang w:val="en-US" w:eastAsia="zh-CN" w:bidi="ar-SA"/>
        </w:rPr>
        <w:t>群承接能力</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依托电子城片区，</w:t>
      </w:r>
      <w:r>
        <w:rPr>
          <w:rFonts w:hint="eastAsia" w:cs="Times New Roman"/>
          <w:color w:val="auto"/>
          <w:kern w:val="0"/>
          <w:sz w:val="32"/>
          <w:szCs w:val="32"/>
          <w:highlight w:val="none"/>
          <w:lang w:val="en-US" w:eastAsia="zh-CN" w:bidi="ar-SA"/>
        </w:rPr>
        <w:t>以</w:t>
      </w:r>
      <w:r>
        <w:rPr>
          <w:rFonts w:hint="eastAsia" w:ascii="Times New Roman" w:hAnsi="Times New Roman" w:eastAsia="仿宋_GB2312" w:cs="仿宋_GB2312"/>
          <w:color w:val="auto"/>
          <w:sz w:val="32"/>
          <w:szCs w:val="32"/>
          <w:highlight w:val="none"/>
          <w14:ligatures w14:val="none"/>
        </w:rPr>
        <w:t>“光智空间”构建世界级新型智算应用产业集群</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聚焦广告营销、影视制作等重点领域，打造AIGC产业集聚地，加快推动数字医疗、智慧康养等产业集聚发展，承接未来产业引领性项目落地。加快朝阳北部科技创新发展带建设</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以亚奥片区为核心，加强与中国科学院等科研院所联动，打造前沿科技成果转化高地</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发挥特色场景优势，推动智能机器人、数据要素等数字产业集聚发展。加快朝阳园北区发展建设，进一步加快空间开发和重大项目落地，</w:t>
      </w:r>
      <w:r>
        <w:rPr>
          <w:rFonts w:hint="eastAsia" w:ascii="Times New Roman" w:hAnsi="Times New Roman" w:eastAsia="仿宋_GB2312" w:cs="仿宋_GB2312"/>
          <w:color w:val="auto"/>
          <w:sz w:val="32"/>
          <w:szCs w:val="32"/>
          <w:highlight w:val="none"/>
        </w:rPr>
        <w:t>推进国际人才公园、爱瑞国际化医疗综合体等重点项目建设，</w:t>
      </w:r>
      <w:r>
        <w:rPr>
          <w:rFonts w:hint="eastAsia" w:ascii="Times New Roman" w:hAnsi="Times New Roman" w:eastAsia="仿宋_GB2312" w:cs="Times New Roman"/>
          <w:color w:val="auto"/>
          <w:kern w:val="0"/>
          <w:sz w:val="32"/>
          <w:szCs w:val="32"/>
          <w:highlight w:val="none"/>
          <w:lang w:val="en-US" w:eastAsia="zh-CN" w:bidi="ar-SA"/>
        </w:rPr>
        <w:t>持续完善配套服务，打造未来发展新增长极。</w:t>
      </w:r>
      <w:r>
        <w:rPr>
          <w:rFonts w:hint="eastAsia" w:ascii="Times New Roman" w:hAnsi="Times New Roman" w:eastAsia="仿宋_GB2312" w:cs="仿宋_GB2312"/>
          <w:color w:val="auto"/>
          <w:sz w:val="32"/>
          <w:szCs w:val="32"/>
          <w:highlight w:val="none"/>
          <w14:ligatures w14:val="none"/>
        </w:rPr>
        <w:t>以“山河湾谷”创新区构建全链条场景开放体系，</w:t>
      </w:r>
      <w:r>
        <w:rPr>
          <w:rFonts w:hint="eastAsia" w:ascii="Times New Roman" w:hAnsi="Times New Roman" w:eastAsia="仿宋_GB2312" w:cs="Times New Roman"/>
          <w:color w:val="auto"/>
          <w:kern w:val="0"/>
          <w:sz w:val="32"/>
          <w:szCs w:val="32"/>
          <w:highlight w:val="none"/>
          <w:lang w:val="en-US" w:eastAsia="zh-CN" w:bidi="ar-SA"/>
        </w:rPr>
        <w:t>发挥以北京工业大学为核心的高校院所作用，形成集原始创新、成果熟化和落地转化于一体的科技创新策源高地</w:t>
      </w:r>
      <w:r>
        <w:rPr>
          <w:rFonts w:hint="eastAsia" w:cs="Times New Roman"/>
          <w:color w:val="auto"/>
          <w:kern w:val="0"/>
          <w:sz w:val="32"/>
          <w:szCs w:val="32"/>
          <w:highlight w:val="none"/>
          <w:lang w:val="en-US" w:eastAsia="zh-CN" w:bidi="ar-SA"/>
        </w:rPr>
        <w:t>；</w:t>
      </w:r>
      <w:r>
        <w:rPr>
          <w:rFonts w:hint="eastAsia" w:ascii="Times New Roman" w:hAnsi="Times New Roman" w:eastAsia="仿宋_GB2312"/>
          <w:color w:val="auto"/>
          <w:sz w:val="32"/>
          <w:szCs w:val="32"/>
          <w:highlight w:val="none"/>
        </w:rPr>
        <w:t>促进CBD片区和山河湾谷片区资源互补、协同联动，打造市级两业融合标杆园区</w:t>
      </w:r>
      <w:r>
        <w:rPr>
          <w:rFonts w:hint="eastAsia" w:ascii="Times New Roman" w:hAnsi="Times New Roman"/>
          <w:color w:val="auto"/>
          <w:sz w:val="32"/>
          <w:szCs w:val="32"/>
          <w:highlight w:val="none"/>
          <w:lang w:eastAsia="zh-CN"/>
        </w:rPr>
        <w:t>。</w:t>
      </w:r>
    </w:p>
    <w:tbl>
      <w:tblPr>
        <w:tblStyle w:val="29"/>
        <w:tblpPr w:leftFromText="180" w:rightFromText="180" w:vertAnchor="text" w:horzAnchor="page" w:tblpX="1878" w:tblpY="14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191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5F1BF2A8">
            <w:pPr>
              <w:pStyle w:val="36"/>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jc w:val="center"/>
              <w:textAlignment w:val="auto"/>
              <w:rPr>
                <w:rFonts w:hint="default" w:eastAsiaTheme="minorEastAsia"/>
                <w:color w:val="auto"/>
                <w:highlight w:val="none"/>
                <w:vertAlign w:val="baseline"/>
                <w:lang w:val="en-US" w:eastAsia="zh-CN"/>
              </w:rPr>
            </w:pPr>
            <w:r>
              <w:rPr>
                <w:rFonts w:hint="eastAsia" w:ascii="Times New Roman" w:hAnsi="Times New Roman" w:cs="Times New Roman"/>
                <w:b w:val="0"/>
                <w:color w:val="auto"/>
                <w:highlight w:val="none"/>
                <w:lang w:val="en-US" w:eastAsia="zh-CN"/>
              </w:rPr>
              <w:t>专栏</w:t>
            </w:r>
            <w:r>
              <w:rPr>
                <w:rFonts w:hint="eastAsia" w:cs="Times New Roman"/>
                <w:b w:val="0"/>
                <w:color w:val="auto"/>
                <w:highlight w:val="none"/>
                <w:lang w:val="en-US" w:eastAsia="zh-CN"/>
              </w:rPr>
              <w:t>4</w:t>
            </w:r>
            <w:r>
              <w:rPr>
                <w:rFonts w:hint="eastAsia" w:ascii="Times New Roman" w:hAnsi="Times New Roman" w:cs="Times New Roman"/>
                <w:b w:val="0"/>
                <w:color w:val="auto"/>
                <w:highlight w:val="none"/>
                <w:lang w:val="en-US" w:eastAsia="zh-CN"/>
              </w:rPr>
              <w:t xml:space="preserve"> </w:t>
            </w:r>
            <w:r>
              <w:rPr>
                <w:rFonts w:hint="eastAsia" w:cs="Times New Roman"/>
                <w:b w:val="0"/>
                <w:color w:val="auto"/>
                <w:highlight w:val="none"/>
                <w:lang w:val="en-US" w:eastAsia="zh-CN"/>
              </w:rPr>
              <w:t>世界领先科技园区发展行动</w:t>
            </w:r>
          </w:p>
        </w:tc>
      </w:tr>
      <w:tr w14:paraId="211E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05373CA">
            <w:pPr>
              <w:adjustRightInd w:val="0"/>
              <w:snapToGrid w:val="0"/>
              <w:spacing w:after="0" w:line="380" w:lineRule="exact"/>
              <w:ind w:left="0" w:leftChars="0"/>
              <w:jc w:val="both"/>
              <w:rPr>
                <w:rFonts w:hint="default" w:ascii="Times New Roman" w:hAnsi="Times New Roman" w:eastAsia="楷体_GB2312" w:cs="Times New Roman"/>
                <w:color w:val="auto"/>
                <w:kern w:val="0"/>
                <w:sz w:val="28"/>
                <w:szCs w:val="28"/>
                <w:highlight w:val="none"/>
                <w:lang w:val="en-US" w:eastAsia="zh-CN"/>
              </w:rPr>
            </w:pPr>
            <w:r>
              <w:rPr>
                <w:rFonts w:hint="default" w:ascii="Times New Roman" w:hAnsi="Times New Roman" w:eastAsia="楷体_GB2312" w:cs="Times New Roman"/>
                <w:color w:val="auto"/>
                <w:kern w:val="0"/>
                <w:sz w:val="28"/>
                <w:szCs w:val="28"/>
                <w:highlight w:val="none"/>
                <w:lang w:val="en-US" w:eastAsia="zh-CN"/>
              </w:rPr>
              <w:t>01</w:t>
            </w:r>
            <w:r>
              <w:rPr>
                <w:rFonts w:hint="eastAsia" w:eastAsia="楷体_GB2312" w:cs="Times New Roman"/>
                <w:color w:val="auto"/>
                <w:kern w:val="0"/>
                <w:sz w:val="28"/>
                <w:szCs w:val="28"/>
                <w:highlight w:val="none"/>
                <w:lang w:val="en-US" w:eastAsia="zh-CN"/>
              </w:rPr>
              <w:t>提升电子城片区产业创新活力</w:t>
            </w:r>
          </w:p>
          <w:p w14:paraId="07B7F69B">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仿宋_GB2312" w:cs="Times New Roman"/>
                <w:color w:val="auto"/>
                <w:kern w:val="0"/>
                <w:sz w:val="28"/>
                <w:szCs w:val="28"/>
                <w:highlight w:val="none"/>
                <w:lang w:val="en-US" w:eastAsia="zh-CN"/>
              </w:rPr>
            </w:pPr>
            <w:r>
              <w:rPr>
                <w:rFonts w:hint="eastAsia" w:ascii="Times New Roman" w:hAnsi="Times New Roman" w:eastAsia="仿宋_GB2312"/>
                <w:color w:val="auto"/>
                <w:kern w:val="0"/>
                <w:sz w:val="28"/>
                <w:szCs w:val="28"/>
                <w:highlight w:val="none"/>
              </w:rPr>
              <w:t>以</w:t>
            </w:r>
            <w:r>
              <w:rPr>
                <w:rFonts w:hint="eastAsia" w:ascii="Times New Roman" w:hAnsi="Times New Roman"/>
                <w:color w:val="auto"/>
                <w:kern w:val="0"/>
                <w:sz w:val="28"/>
                <w:szCs w:val="28"/>
                <w:highlight w:val="none"/>
                <w:lang w:eastAsia="zh-CN"/>
              </w:rPr>
              <w:t>“</w:t>
            </w:r>
            <w:r>
              <w:rPr>
                <w:rFonts w:hint="eastAsia" w:ascii="Times New Roman" w:hAnsi="Times New Roman" w:eastAsia="仿宋_GB2312"/>
                <w:color w:val="auto"/>
                <w:kern w:val="0"/>
                <w:sz w:val="28"/>
                <w:szCs w:val="28"/>
                <w:highlight w:val="none"/>
              </w:rPr>
              <w:t>光算融合、智启新境</w:t>
            </w:r>
            <w:r>
              <w:rPr>
                <w:rFonts w:hint="eastAsia" w:ascii="Times New Roman" w:hAnsi="Times New Roman"/>
                <w:color w:val="auto"/>
                <w:kern w:val="0"/>
                <w:sz w:val="28"/>
                <w:szCs w:val="28"/>
                <w:highlight w:val="none"/>
                <w:lang w:eastAsia="zh-CN"/>
              </w:rPr>
              <w:t>”</w:t>
            </w:r>
            <w:r>
              <w:rPr>
                <w:rFonts w:hint="eastAsia" w:ascii="Times New Roman" w:hAnsi="Times New Roman" w:eastAsia="仿宋_GB2312"/>
                <w:color w:val="auto"/>
                <w:kern w:val="0"/>
                <w:sz w:val="28"/>
                <w:szCs w:val="28"/>
                <w:highlight w:val="none"/>
              </w:rPr>
              <w:t>为特色定位，</w:t>
            </w:r>
            <w:r>
              <w:rPr>
                <w:rFonts w:hint="default" w:ascii="Times New Roman" w:hAnsi="Times New Roman" w:eastAsia="仿宋_GB2312" w:cs="Times New Roman"/>
                <w:color w:val="auto"/>
                <w:kern w:val="0"/>
                <w:sz w:val="28"/>
                <w:szCs w:val="28"/>
                <w:highlight w:val="none"/>
                <w:lang w:val="en-US" w:eastAsia="zh-CN"/>
              </w:rPr>
              <w:t>建设朝阳</w:t>
            </w:r>
            <w:r>
              <w:rPr>
                <w:rFonts w:hint="eastAsia" w:ascii="Times New Roman" w:hAnsi="Times New Roman"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lang w:val="en-US" w:eastAsia="zh-CN"/>
              </w:rPr>
              <w:t>光智空间</w:t>
            </w:r>
            <w:r>
              <w:rPr>
                <w:rFonts w:hint="eastAsia" w:ascii="Times New Roman" w:hAnsi="Times New Roman" w:cs="Times New Roman"/>
                <w:color w:val="auto"/>
                <w:kern w:val="0"/>
                <w:sz w:val="28"/>
                <w:szCs w:val="28"/>
                <w:highlight w:val="none"/>
                <w:lang w:val="en-US" w:eastAsia="zh-CN"/>
              </w:rPr>
              <w:t>”</w:t>
            </w:r>
            <w:r>
              <w:rPr>
                <w:rFonts w:hint="eastAsia" w:cs="Times New Roman"/>
                <w:color w:val="auto"/>
                <w:kern w:val="0"/>
                <w:sz w:val="28"/>
                <w:szCs w:val="28"/>
                <w:highlight w:val="none"/>
                <w:lang w:val="en-US" w:eastAsia="zh-CN"/>
              </w:rPr>
              <w:t>，</w:t>
            </w:r>
            <w:r>
              <w:rPr>
                <w:rFonts w:hint="eastAsia" w:ascii="Times New Roman" w:hAnsi="Times New Roman" w:eastAsia="仿宋_GB2312" w:cs="Times New Roman"/>
                <w:color w:val="auto"/>
                <w:kern w:val="0"/>
                <w:sz w:val="28"/>
                <w:szCs w:val="28"/>
                <w:highlight w:val="none"/>
                <w:lang w:val="en-US" w:eastAsia="zh-CN"/>
              </w:rPr>
              <w:t>实施产业发展提质、创新生态搭建、区域面貌焕新三大工程，搭建完善的AI科技创新服务体系，推动人工智能深度赋能场景应用。</w:t>
            </w:r>
            <w:r>
              <w:rPr>
                <w:rFonts w:hint="eastAsia" w:cs="Times New Roman"/>
                <w:color w:val="auto"/>
                <w:kern w:val="0"/>
                <w:sz w:val="28"/>
                <w:szCs w:val="28"/>
                <w:highlight w:val="none"/>
                <w:lang w:val="en-US" w:eastAsia="zh-CN"/>
              </w:rPr>
              <w:t>依托中关村（朝阳）互联网3.0产业园、北京数字人基地、郎园Station AIGC视听产业创新中心、未来显示产业园等十余个特色科技园区，</w:t>
            </w:r>
            <w:r>
              <w:rPr>
                <w:rFonts w:hint="eastAsia" w:ascii="Times New Roman" w:hAnsi="Times New Roman" w:eastAsia="仿宋_GB2312"/>
                <w:color w:val="auto"/>
                <w:kern w:val="0"/>
                <w:sz w:val="28"/>
                <w:szCs w:val="28"/>
                <w:highlight w:val="none"/>
              </w:rPr>
              <w:t>推进AIGC产品研发和技术转化落地，构建覆盖技术研发、创新孵化、场景应用、内容生产的AIGC全产业链生态体系。</w:t>
            </w:r>
            <w:r>
              <w:rPr>
                <w:rFonts w:hint="eastAsia" w:cs="Times New Roman"/>
                <w:color w:val="auto"/>
                <w:kern w:val="0"/>
                <w:sz w:val="28"/>
                <w:szCs w:val="28"/>
                <w:highlight w:val="none"/>
                <w:lang w:val="en-US" w:eastAsia="zh-CN"/>
              </w:rPr>
              <w:t>以中关村（朝阳）数字医疗产业园为核心，促进数字医疗产业集聚发展。以崔各庄乡大望京中心为核心，推动建设北京首个智慧康养产业园。依托IC/PIC电子城未来产业育新基地、中关村（朝阳）国际空天产业园等园区空间资源优势，推动未来产业集聚发展</w:t>
            </w:r>
            <w:r>
              <w:rPr>
                <w:rFonts w:hint="default" w:ascii="Times New Roman" w:hAnsi="Times New Roman" w:eastAsia="仿宋_GB2312" w:cs="Times New Roman"/>
                <w:color w:val="auto"/>
                <w:kern w:val="0"/>
                <w:sz w:val="28"/>
                <w:szCs w:val="28"/>
                <w:highlight w:val="none"/>
                <w:lang w:val="en-US" w:eastAsia="zh-CN"/>
              </w:rPr>
              <w:t>。</w:t>
            </w:r>
          </w:p>
        </w:tc>
      </w:tr>
      <w:tr w14:paraId="4650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7F832DC">
            <w:pPr>
              <w:adjustRightInd w:val="0"/>
              <w:snapToGrid w:val="0"/>
              <w:spacing w:after="0" w:line="380" w:lineRule="exact"/>
              <w:ind w:left="0" w:leftChars="0"/>
              <w:jc w:val="both"/>
              <w:rPr>
                <w:rFonts w:hint="default"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02</w:t>
            </w:r>
            <w:r>
              <w:rPr>
                <w:rFonts w:hint="eastAsia" w:eastAsia="楷体_GB2312" w:cs="Times New Roman"/>
                <w:color w:val="auto"/>
                <w:kern w:val="0"/>
                <w:sz w:val="28"/>
                <w:szCs w:val="28"/>
                <w:highlight w:val="none"/>
                <w:lang w:val="en-US" w:eastAsia="zh-CN"/>
              </w:rPr>
              <w:t>打造朝阳北部科技创新发展带</w:t>
            </w:r>
          </w:p>
          <w:p w14:paraId="07376559">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楷体_GB2312" w:cs="楷体_GB2312"/>
                <w:color w:val="auto"/>
                <w:kern w:val="0"/>
                <w:sz w:val="28"/>
                <w:szCs w:val="28"/>
                <w:highlight w:val="none"/>
                <w:lang w:val="en-US" w:eastAsia="zh-CN"/>
              </w:rPr>
            </w:pPr>
            <w:r>
              <w:rPr>
                <w:rFonts w:hint="eastAsia" w:cs="Times New Roman"/>
                <w:color w:val="auto"/>
                <w:kern w:val="0"/>
                <w:sz w:val="28"/>
                <w:szCs w:val="28"/>
                <w:highlight w:val="none"/>
                <w:lang w:val="en-US" w:eastAsia="zh-CN"/>
              </w:rPr>
              <w:t>推动</w:t>
            </w:r>
            <w:r>
              <w:rPr>
                <w:rFonts w:hint="eastAsia" w:ascii="Times New Roman" w:hAnsi="Times New Roman" w:eastAsia="仿宋_GB2312" w:cs="Times New Roman"/>
                <w:color w:val="auto"/>
                <w:kern w:val="0"/>
                <w:sz w:val="28"/>
                <w:szCs w:val="28"/>
                <w:highlight w:val="none"/>
                <w:lang w:val="en-US" w:eastAsia="zh-CN"/>
              </w:rPr>
              <w:t>亚奥片区与中国科学院、北京化工大学、学院路高校群等对接联动，探索建设联合实验室、工程技术中心、前沿技术孵化中心等创新平台</w:t>
            </w:r>
            <w:r>
              <w:rPr>
                <w:rFonts w:hint="eastAsia" w:cs="Times New Roman"/>
                <w:color w:val="auto"/>
                <w:kern w:val="0"/>
                <w:sz w:val="28"/>
                <w:szCs w:val="28"/>
                <w:highlight w:val="none"/>
                <w:lang w:val="en-US" w:eastAsia="zh-CN"/>
              </w:rPr>
              <w:t>。提升医工创谷标杆孵化器、中瑞医药健康创新中心等创新平台生态功能，推动科技成果转化应用。</w:t>
            </w:r>
            <w:r>
              <w:rPr>
                <w:rFonts w:hint="eastAsia" w:ascii="Times New Roman" w:hAnsi="Times New Roman" w:eastAsia="仿宋_GB2312"/>
                <w:color w:val="auto"/>
                <w:kern w:val="0"/>
                <w:sz w:val="28"/>
                <w:szCs w:val="28"/>
                <w:highlight w:val="none"/>
              </w:rPr>
              <w:t>高标准建设北京</w:t>
            </w:r>
            <w:r>
              <w:rPr>
                <w:rFonts w:hint="eastAsia" w:cs="Times New Roman"/>
                <w:color w:val="auto"/>
                <w:kern w:val="0"/>
                <w:sz w:val="28"/>
                <w:szCs w:val="28"/>
                <w:highlight w:val="none"/>
                <w:lang w:val="en-US" w:eastAsia="zh-CN"/>
              </w:rPr>
              <w:t>奥林匹克中心区机器人创新公园，推动前沿技术先行先试与场景应用。依托国家速滑馆及周边产业空间，承接赛训基地技术成果转化和产业孵化溢出</w:t>
            </w:r>
            <w:r>
              <w:rPr>
                <w:rFonts w:hint="eastAsia" w:ascii="Times New Roman" w:hAnsi="Times New Roman" w:eastAsia="仿宋"/>
                <w:color w:val="auto"/>
                <w:kern w:val="0"/>
                <w:sz w:val="32"/>
                <w:szCs w:val="32"/>
                <w:highlight w:val="none"/>
              </w:rPr>
              <w:t>。</w:t>
            </w:r>
            <w:r>
              <w:rPr>
                <w:rFonts w:hint="eastAsia" w:cs="Times New Roman"/>
                <w:color w:val="auto"/>
                <w:kern w:val="0"/>
                <w:sz w:val="28"/>
                <w:szCs w:val="28"/>
                <w:highlight w:val="none"/>
                <w:lang w:val="en-US" w:eastAsia="zh-CN"/>
              </w:rPr>
              <w:t>以中关村创新社区·数字产业中心为枢纽，推动大屯数字未来城建设。</w:t>
            </w:r>
          </w:p>
        </w:tc>
      </w:tr>
      <w:tr w14:paraId="628F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52B27C3E">
            <w:pPr>
              <w:adjustRightInd w:val="0"/>
              <w:snapToGrid w:val="0"/>
              <w:spacing w:after="0" w:line="380" w:lineRule="exact"/>
              <w:jc w:val="left"/>
              <w:rPr>
                <w:rFonts w:hint="default"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03</w:t>
            </w:r>
            <w:r>
              <w:rPr>
                <w:rFonts w:hint="eastAsia" w:eastAsia="楷体_GB2312" w:cs="Times New Roman"/>
                <w:color w:val="auto"/>
                <w:kern w:val="0"/>
                <w:sz w:val="28"/>
                <w:szCs w:val="28"/>
                <w:highlight w:val="none"/>
                <w:lang w:val="en-US" w:eastAsia="zh-CN"/>
              </w:rPr>
              <w:t>加快朝阳园北区发展建设</w:t>
            </w:r>
          </w:p>
          <w:p w14:paraId="060C287F">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楷体_GB2312" w:cs="楷体_GB2312"/>
                <w:color w:val="auto"/>
                <w:kern w:val="0"/>
                <w:sz w:val="28"/>
                <w:szCs w:val="28"/>
                <w:highlight w:val="none"/>
                <w:lang w:val="en-US" w:eastAsia="zh-CN"/>
              </w:rPr>
            </w:pPr>
            <w:r>
              <w:rPr>
                <w:rFonts w:hint="eastAsia" w:cs="Times New Roman"/>
                <w:color w:val="auto"/>
                <w:kern w:val="0"/>
                <w:sz w:val="28"/>
                <w:szCs w:val="28"/>
                <w:highlight w:val="none"/>
                <w:lang w:val="en-US" w:eastAsia="zh-CN"/>
              </w:rPr>
              <w:t>加快北京爱瑞国际化医疗综合体分期建设，</w:t>
            </w:r>
            <w:r>
              <w:rPr>
                <w:rFonts w:hint="eastAsia" w:ascii="Times New Roman" w:hAnsi="Times New Roman" w:eastAsia="仿宋_GB2312"/>
                <w:color w:val="auto"/>
                <w:kern w:val="0"/>
                <w:sz w:val="28"/>
                <w:szCs w:val="28"/>
                <w:highlight w:val="none"/>
              </w:rPr>
              <w:t>联动</w:t>
            </w:r>
            <w:r>
              <w:rPr>
                <w:rFonts w:hint="eastAsia" w:ascii="Times New Roman" w:hAnsi="Times New Roman" w:eastAsia="仿宋_GB2312"/>
                <w:color w:val="auto"/>
                <w:kern w:val="0"/>
                <w:sz w:val="28"/>
                <w:szCs w:val="28"/>
                <w:highlight w:val="none"/>
                <w:lang w:bidi="ar"/>
              </w:rPr>
              <w:t>数字医疗产业园拓展区</w:t>
            </w:r>
            <w:r>
              <w:rPr>
                <w:rFonts w:hint="eastAsia"/>
                <w:color w:val="auto"/>
                <w:kern w:val="0"/>
                <w:sz w:val="28"/>
                <w:szCs w:val="28"/>
                <w:highlight w:val="none"/>
                <w:lang w:val="en-US" w:eastAsia="zh-CN" w:bidi="ar"/>
              </w:rPr>
              <w:t>等重点</w:t>
            </w:r>
            <w:r>
              <w:rPr>
                <w:rFonts w:hint="eastAsia" w:ascii="Times New Roman" w:hAnsi="Times New Roman" w:eastAsia="仿宋_GB2312"/>
                <w:color w:val="auto"/>
                <w:kern w:val="0"/>
                <w:sz w:val="28"/>
                <w:szCs w:val="28"/>
                <w:highlight w:val="none"/>
                <w:lang w:bidi="ar"/>
              </w:rPr>
              <w:t>项目建设，</w:t>
            </w:r>
            <w:r>
              <w:rPr>
                <w:rFonts w:hint="eastAsia" w:ascii="Times New Roman" w:hAnsi="Times New Roman" w:eastAsia="仿宋_GB2312"/>
                <w:color w:val="auto"/>
                <w:kern w:val="0"/>
                <w:sz w:val="28"/>
                <w:szCs w:val="28"/>
                <w:highlight w:val="none"/>
              </w:rPr>
              <w:t>引领数字医疗等</w:t>
            </w:r>
            <w:r>
              <w:rPr>
                <w:rFonts w:hint="eastAsia" w:ascii="Times New Roman" w:hAnsi="Times New Roman" w:eastAsia="仿宋_GB2312"/>
                <w:color w:val="auto"/>
                <w:kern w:val="0"/>
                <w:sz w:val="28"/>
                <w:szCs w:val="28"/>
                <w:highlight w:val="none"/>
                <w:lang w:val="en-US" w:eastAsia="zh-CN"/>
              </w:rPr>
              <w:t>产业</w:t>
            </w:r>
            <w:r>
              <w:rPr>
                <w:rFonts w:hint="eastAsia" w:ascii="Times New Roman" w:hAnsi="Times New Roman" w:eastAsia="仿宋_GB2312"/>
                <w:color w:val="auto"/>
                <w:kern w:val="0"/>
                <w:sz w:val="28"/>
                <w:szCs w:val="28"/>
                <w:highlight w:val="none"/>
              </w:rPr>
              <w:t>集群发展。发挥阿里巴巴、抖音等链主企业示范引领与辐射带动效能，围绕人工智能、数字医疗、国际化等重点领域，</w:t>
            </w:r>
            <w:r>
              <w:rPr>
                <w:rFonts w:hint="eastAsia" w:cs="Times New Roman"/>
                <w:color w:val="auto"/>
                <w:kern w:val="0"/>
                <w:sz w:val="28"/>
                <w:szCs w:val="28"/>
                <w:highlight w:val="none"/>
                <w:lang w:val="en-US" w:eastAsia="zh-CN"/>
              </w:rPr>
              <w:t>探索开展产业链上下游协同招商。</w:t>
            </w:r>
          </w:p>
        </w:tc>
      </w:tr>
      <w:tr w14:paraId="2BD9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4A5DEF0E">
            <w:pPr>
              <w:keepNext w:val="0"/>
              <w:keepLines w:val="0"/>
              <w:pageBreakBefore w:val="0"/>
              <w:widowControl w:val="0"/>
              <w:kinsoku/>
              <w:wordWrap/>
              <w:overflowPunct/>
              <w:topLinePunct w:val="0"/>
              <w:autoSpaceDE/>
              <w:autoSpaceDN/>
              <w:bidi w:val="0"/>
              <w:adjustRightInd w:val="0"/>
              <w:snapToGrid w:val="0"/>
              <w:spacing w:after="0" w:line="380" w:lineRule="exact"/>
              <w:ind w:left="0" w:leftChars="0" w:firstLine="0" w:firstLineChars="0"/>
              <w:jc w:val="both"/>
              <w:textAlignment w:val="auto"/>
              <w:rPr>
                <w:rFonts w:hint="default"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w:t>
            </w:r>
            <w:r>
              <w:rPr>
                <w:rFonts w:hint="eastAsia" w:eastAsia="楷体_GB2312" w:cs="Times New Roman"/>
                <w:color w:val="auto"/>
                <w:kern w:val="0"/>
                <w:sz w:val="28"/>
                <w:szCs w:val="28"/>
                <w:highlight w:val="none"/>
                <w:lang w:val="en-US" w:eastAsia="zh-CN"/>
              </w:rPr>
              <w:t>4提升山河湾谷科创策源能力</w:t>
            </w:r>
          </w:p>
          <w:p w14:paraId="4B79350E">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cs="Times New Roman"/>
                <w:color w:val="auto"/>
                <w:kern w:val="0"/>
                <w:sz w:val="28"/>
                <w:szCs w:val="28"/>
                <w:highlight w:val="none"/>
                <w:lang w:val="en-US" w:eastAsia="zh-CN"/>
              </w:rPr>
            </w:pPr>
            <w:r>
              <w:rPr>
                <w:rFonts w:hint="default" w:cs="Times New Roman"/>
                <w:color w:val="auto"/>
                <w:kern w:val="0"/>
                <w:sz w:val="28"/>
                <w:szCs w:val="28"/>
                <w:highlight w:val="none"/>
                <w:lang w:val="en-US" w:eastAsia="zh-CN"/>
              </w:rPr>
              <w:t>依托北京工业大学及周边承载空间，加快高校院所、国家重点实验室、工程技术中心、跨国企业研发机构、医疗机构等高能级要素集聚。依托北控科创园等承载空间，支持园区创新主体建设</w:t>
            </w:r>
            <w:r>
              <w:rPr>
                <w:rFonts w:hint="eastAsia" w:cs="Times New Roman"/>
                <w:color w:val="auto"/>
                <w:kern w:val="0"/>
                <w:sz w:val="28"/>
                <w:szCs w:val="28"/>
                <w:highlight w:val="none"/>
                <w:lang w:val="en-US" w:eastAsia="zh-CN"/>
              </w:rPr>
              <w:t>创新创业</w:t>
            </w:r>
            <w:r>
              <w:rPr>
                <w:rFonts w:hint="default" w:cs="Times New Roman"/>
                <w:color w:val="auto"/>
                <w:kern w:val="0"/>
                <w:sz w:val="28"/>
                <w:szCs w:val="28"/>
                <w:highlight w:val="none"/>
                <w:lang w:val="en-US" w:eastAsia="zh-CN"/>
              </w:rPr>
              <w:t>孵化载体，提升科技创新成果转化支撑服务能力。</w:t>
            </w:r>
            <w:r>
              <w:rPr>
                <w:rFonts w:hint="eastAsia" w:cs="Times New Roman"/>
                <w:color w:val="auto"/>
                <w:kern w:val="0"/>
                <w:sz w:val="28"/>
                <w:szCs w:val="28"/>
                <w:highlight w:val="none"/>
                <w:lang w:val="en-US" w:eastAsia="zh-CN"/>
              </w:rPr>
              <w:t>推动</w:t>
            </w:r>
            <w:r>
              <w:rPr>
                <w:rFonts w:hint="default" w:cs="Times New Roman"/>
                <w:color w:val="auto"/>
                <w:kern w:val="0"/>
                <w:sz w:val="28"/>
                <w:szCs w:val="28"/>
                <w:highlight w:val="none"/>
                <w:lang w:val="en-US" w:eastAsia="zh-CN"/>
              </w:rPr>
              <w:t>南部街乡存量空间转型升级，围绕</w:t>
            </w:r>
            <w:r>
              <w:rPr>
                <w:rFonts w:hint="default" w:ascii="Times New Roman" w:hAnsi="Times New Roman" w:eastAsia="仿宋_GB2312" w:cs="Times New Roman"/>
                <w:color w:val="auto"/>
                <w:kern w:val="0"/>
                <w:sz w:val="28"/>
                <w:szCs w:val="28"/>
                <w:highlight w:val="none"/>
                <w:lang w:bidi="ar"/>
              </w:rPr>
              <w:t>人工智能、新能源、智能制造装备、医工交叉等细分领域，高标准推进特色产业园区建设，做大产业集群规模。</w:t>
            </w:r>
          </w:p>
        </w:tc>
      </w:tr>
    </w:tbl>
    <w:p w14:paraId="145882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color w:val="auto"/>
          <w:szCs w:val="32"/>
          <w:highlight w:val="none"/>
        </w:rPr>
      </w:pPr>
      <w:r>
        <w:rPr>
          <w:rFonts w:hint="eastAsia"/>
          <w:b/>
          <w:bCs/>
          <w:color w:val="auto"/>
          <w:szCs w:val="32"/>
          <w:highlight w:val="none"/>
          <w:lang w:bidi="zh-CN"/>
        </w:rPr>
        <w:t>扩展国际科技生态网络。</w:t>
      </w:r>
      <w:r>
        <w:rPr>
          <w:rFonts w:hint="eastAsia"/>
          <w:color w:val="auto"/>
          <w:szCs w:val="32"/>
          <w:highlight w:val="none"/>
          <w:lang w:bidi="zh-CN"/>
        </w:rPr>
        <w:t>高水平建设国际科技组织总部集聚区，</w:t>
      </w:r>
      <w:r>
        <w:rPr>
          <w:rFonts w:hint="eastAsia"/>
          <w:color w:val="auto"/>
          <w:szCs w:val="32"/>
          <w:highlight w:val="none"/>
          <w:lang w:val="en-US" w:bidi="zh-CN"/>
        </w:rPr>
        <w:t>持续加大吸引优质国际科技组织落户工作力度，深度链接高水平国际化资源，鼓励</w:t>
      </w:r>
      <w:r>
        <w:rPr>
          <w:rFonts w:hint="eastAsia"/>
          <w:color w:val="auto"/>
          <w:szCs w:val="32"/>
          <w:highlight w:val="none"/>
          <w:lang w:bidi="zh-CN"/>
        </w:rPr>
        <w:t>科技人才在国际科技组织与机构任职、兼职。</w:t>
      </w:r>
      <w:r>
        <w:rPr>
          <w:rFonts w:hint="eastAsia"/>
          <w:color w:val="auto"/>
          <w:kern w:val="0"/>
          <w:szCs w:val="32"/>
          <w:highlight w:val="none"/>
        </w:rPr>
        <w:t>鼓励本地企业与国际科技组织联合制定国际标准与行业规则，共同搭建人工智能、生物医药等领域行业数据、标准互认对接平台，支持国际电联（ITU）、电气电子工程师学会（IEEE）等组织在朝阳设立标准工作站。高质量</w:t>
      </w:r>
      <w:r>
        <w:rPr>
          <w:rFonts w:hint="default"/>
          <w:color w:val="auto"/>
          <w:kern w:val="0"/>
          <w:szCs w:val="32"/>
          <w:highlight w:val="none"/>
          <w:lang w:val="en-US"/>
        </w:rPr>
        <w:t>建设国际创投集聚区</w:t>
      </w:r>
      <w:r>
        <w:rPr>
          <w:rFonts w:hint="eastAsia"/>
          <w:color w:val="auto"/>
          <w:kern w:val="0"/>
          <w:szCs w:val="32"/>
          <w:highlight w:val="none"/>
        </w:rPr>
        <w:t>，聚焦前沿科技领域，吸引国际知名创投机构、创投项目、专业服务机构落地，</w:t>
      </w:r>
      <w:r>
        <w:rPr>
          <w:rFonts w:hint="eastAsia"/>
          <w:color w:val="auto"/>
          <w:kern w:val="0"/>
          <w:szCs w:val="32"/>
          <w:highlight w:val="none"/>
          <w:lang w:val="en-US" w:eastAsia="zh-CN"/>
        </w:rPr>
        <w:t>提升</w:t>
      </w:r>
      <w:r>
        <w:rPr>
          <w:rFonts w:hint="eastAsia"/>
          <w:color w:val="auto"/>
          <w:kern w:val="0"/>
          <w:szCs w:val="32"/>
          <w:highlight w:val="none"/>
        </w:rPr>
        <w:t>国际化科技创新孵化</w:t>
      </w:r>
      <w:r>
        <w:rPr>
          <w:rFonts w:hint="eastAsia"/>
          <w:color w:val="auto"/>
          <w:kern w:val="0"/>
          <w:szCs w:val="32"/>
          <w:highlight w:val="none"/>
          <w:lang w:val="en-US" w:eastAsia="zh-CN"/>
        </w:rPr>
        <w:t>能力</w:t>
      </w:r>
      <w:r>
        <w:rPr>
          <w:rFonts w:hint="eastAsia"/>
          <w:color w:val="auto"/>
          <w:kern w:val="0"/>
          <w:szCs w:val="32"/>
          <w:highlight w:val="none"/>
        </w:rPr>
        <w:t>。</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科汇通</w:t>
      </w:r>
      <w:r>
        <w:rPr>
          <w:rFonts w:hint="eastAsia"/>
          <w:color w:val="auto"/>
          <w:szCs w:val="32"/>
          <w:highlight w:val="none"/>
          <w:lang w:eastAsia="zh-CN"/>
        </w:rPr>
        <w:t>”</w:t>
      </w:r>
      <w:r>
        <w:rPr>
          <w:rFonts w:hint="eastAsia"/>
          <w:color w:val="auto"/>
          <w:szCs w:val="32"/>
          <w:highlight w:val="none"/>
        </w:rPr>
        <w:t>试点业务，便利符合条件的外资非企业科研机构合规办理外汇业务。</w:t>
      </w:r>
    </w:p>
    <w:p w14:paraId="3567FB11">
      <w:pPr>
        <w:adjustRightInd w:val="0"/>
        <w:snapToGrid w:val="0"/>
        <w:spacing w:line="560" w:lineRule="exact"/>
        <w:ind w:firstLine="643" w:firstLineChars="200"/>
        <w:rPr>
          <w:b/>
          <w:bCs/>
          <w:color w:val="auto"/>
          <w:kern w:val="0"/>
          <w:szCs w:val="32"/>
          <w:highlight w:val="none"/>
        </w:rPr>
      </w:pPr>
      <w:r>
        <w:rPr>
          <w:rFonts w:hint="eastAsia"/>
          <w:b/>
          <w:bCs/>
          <w:color w:val="auto"/>
          <w:kern w:val="0"/>
          <w:szCs w:val="32"/>
          <w:highlight w:val="none"/>
        </w:rPr>
        <w:t>加强科技创新国际合作。</w:t>
      </w:r>
      <w:r>
        <w:rPr>
          <w:rFonts w:hint="eastAsia"/>
          <w:color w:val="auto"/>
          <w:kern w:val="0"/>
          <w:szCs w:val="32"/>
          <w:highlight w:val="none"/>
        </w:rPr>
        <w:t>高水平打造国际科创会客厅，深化与中国香港、新加坡元宇宙产业国际合作，促进京港、中新互联网3.0产业创新中心等国际平台发展，推进核心技术攻关和场景应用落地的商业化闭环。提升</w:t>
      </w:r>
      <w:r>
        <w:rPr>
          <w:rFonts w:hint="eastAsia"/>
          <w:color w:val="auto"/>
          <w:highlight w:val="none"/>
        </w:rPr>
        <w:t>朝阳国际人才创业大会（ITEC）</w:t>
      </w:r>
      <w:r>
        <w:rPr>
          <w:rFonts w:hint="eastAsia"/>
          <w:color w:val="auto"/>
          <w:kern w:val="0"/>
          <w:szCs w:val="32"/>
          <w:highlight w:val="none"/>
        </w:rPr>
        <w:t>、全球数字经济大会、世界人形机器人运动会、全球科技成果转化大会等高能级国际活动品牌影响力，</w:t>
      </w:r>
      <w:r>
        <w:rPr>
          <w:rFonts w:hint="eastAsia"/>
          <w:color w:val="auto"/>
          <w:highlight w:val="none"/>
        </w:rPr>
        <w:t>吸引更多优秀项目落地。</w:t>
      </w:r>
      <w:r>
        <w:rPr>
          <w:rFonts w:ascii="Times New Roman" w:hAnsi="Times New Roman" w:eastAsia="仿宋_GB2312" w:cs="仿宋_GB2312"/>
          <w:color w:val="auto"/>
          <w:kern w:val="0"/>
          <w:sz w:val="32"/>
          <w:szCs w:val="32"/>
          <w:highlight w:val="none"/>
          <w:lang w:bidi="ar"/>
        </w:rPr>
        <w:t>聚焦企业国际化发展需求，</w:t>
      </w:r>
      <w:r>
        <w:rPr>
          <w:rFonts w:hint="eastAsia" w:ascii="Times New Roman" w:hAnsi="Times New Roman" w:eastAsia="仿宋_GB2312" w:cs="Times New Roman"/>
          <w:color w:val="auto"/>
          <w:sz w:val="32"/>
          <w:szCs w:val="32"/>
          <w:highlight w:val="none"/>
        </w:rPr>
        <w:t>持续实施“雨燕行动”，扩大国际化服务机构合作范围</w:t>
      </w:r>
      <w:r>
        <w:rPr>
          <w:rFonts w:hint="eastAsia" w:cs="Times New Roman"/>
          <w:color w:val="auto"/>
          <w:sz w:val="32"/>
          <w:szCs w:val="32"/>
          <w:highlight w:val="none"/>
          <w:lang w:eastAsia="zh-CN"/>
        </w:rPr>
        <w:t>。</w:t>
      </w:r>
    </w:p>
    <w:p w14:paraId="5BD6D8B1">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65" w:name="_Toc1527"/>
      <w:bookmarkStart w:id="66" w:name="_Toc23221"/>
      <w:bookmarkStart w:id="67" w:name="_Toc11274"/>
      <w:bookmarkStart w:id="68" w:name="_Toc10489"/>
      <w:bookmarkStart w:id="69" w:name="_Toc14764"/>
      <w:bookmarkStart w:id="70" w:name="_Toc22820"/>
      <w:r>
        <w:rPr>
          <w:rFonts w:hint="eastAsia" w:ascii="Times New Roman" w:hAnsi="Times New Roman" w:eastAsia="黑体" w:cs="黑体"/>
          <w:color w:val="auto"/>
          <w:sz w:val="32"/>
          <w:szCs w:val="32"/>
          <w:highlight w:val="none"/>
          <w:lang w:val="en-US" w:eastAsia="zh-CN"/>
        </w:rPr>
        <w:t xml:space="preserve">第三节 </w:t>
      </w:r>
      <w:bookmarkEnd w:id="65"/>
      <w:bookmarkEnd w:id="66"/>
      <w:bookmarkEnd w:id="67"/>
      <w:r>
        <w:rPr>
          <w:rFonts w:hint="eastAsia" w:ascii="Times New Roman" w:hAnsi="Times New Roman" w:eastAsia="黑体" w:cs="黑体"/>
          <w:color w:val="auto"/>
          <w:sz w:val="32"/>
          <w:szCs w:val="32"/>
          <w:highlight w:val="none"/>
          <w:lang w:val="en-US" w:eastAsia="zh-CN"/>
        </w:rPr>
        <w:t>深化国家文化产业创新实验区建设</w:t>
      </w:r>
      <w:bookmarkEnd w:id="68"/>
    </w:p>
    <w:p w14:paraId="6BB6B469">
      <w:pPr>
        <w:adjustRightInd w:val="0"/>
        <w:snapToGrid w:val="0"/>
        <w:spacing w:line="560" w:lineRule="exact"/>
        <w:ind w:firstLine="643" w:firstLineChars="200"/>
        <w:rPr>
          <w:color w:val="auto"/>
          <w:szCs w:val="32"/>
          <w:highlight w:val="none"/>
        </w:rPr>
      </w:pPr>
      <w:r>
        <w:rPr>
          <w:rFonts w:hint="eastAsia"/>
          <w:b/>
          <w:bCs/>
          <w:color w:val="auto"/>
          <w:szCs w:val="32"/>
          <w:highlight w:val="none"/>
        </w:rPr>
        <w:t>构建数智化文化产业体系。</w:t>
      </w:r>
      <w:r>
        <w:rPr>
          <w:rFonts w:hint="eastAsia"/>
          <w:color w:val="auto"/>
          <w:szCs w:val="32"/>
          <w:highlight w:val="none"/>
        </w:rPr>
        <w:t>加快文化产业数智化跃升，</w:t>
      </w:r>
      <w:r>
        <w:rPr>
          <w:color w:val="auto"/>
          <w:szCs w:val="32"/>
          <w:highlight w:val="none"/>
        </w:rPr>
        <w:t>完善数字广告</w:t>
      </w:r>
      <w:r>
        <w:rPr>
          <w:rFonts w:hint="eastAsia"/>
          <w:color w:val="auto"/>
          <w:szCs w:val="32"/>
          <w:highlight w:val="none"/>
        </w:rPr>
        <w:t>产业</w:t>
      </w:r>
      <w:r>
        <w:rPr>
          <w:color w:val="auto"/>
          <w:szCs w:val="32"/>
          <w:highlight w:val="none"/>
        </w:rPr>
        <w:t>链条与协作网络，</w:t>
      </w:r>
      <w:r>
        <w:rPr>
          <w:rFonts w:hint="eastAsia"/>
          <w:color w:val="auto"/>
          <w:szCs w:val="32"/>
          <w:highlight w:val="none"/>
        </w:rPr>
        <w:t>鼓励影视IP跨媒介传播，搭建数字内容云平台，推动广告会展、影视传媒、新闻出版等传统业态转型升级。促进新兴文化产业发展壮大，</w:t>
      </w:r>
      <w:r>
        <w:rPr>
          <w:rFonts w:hint="eastAsia" w:ascii="Times New Roman" w:hAnsi="Times New Roman" w:eastAsia="仿宋_GB2312" w:cs="仿宋_GB2312"/>
          <w:b w:val="0"/>
          <w:bCs/>
          <w:color w:val="auto"/>
          <w:sz w:val="32"/>
          <w:szCs w:val="32"/>
          <w:highlight w:val="none"/>
          <w:lang w:val="en-US" w:eastAsia="zh-CN"/>
        </w:rPr>
        <w:t>培育发展数字视听、数字出版、数字文娱、游戏电竞、IP潮玩五大特色产业集群</w:t>
      </w:r>
      <w:r>
        <w:rPr>
          <w:rFonts w:hint="eastAsia"/>
          <w:color w:val="auto"/>
          <w:szCs w:val="32"/>
          <w:highlight w:val="none"/>
        </w:rPr>
        <w:t>。布局文化产业新赛道，</w:t>
      </w:r>
      <w:r>
        <w:rPr>
          <w:rFonts w:hint="eastAsia" w:ascii="Times New Roman" w:hAnsi="Times New Roman" w:eastAsia="仿宋_GB2312" w:cs="仿宋_GB2312"/>
          <w:b w:val="0"/>
          <w:bCs/>
          <w:color w:val="auto"/>
          <w:sz w:val="32"/>
          <w:szCs w:val="32"/>
          <w:highlight w:val="none"/>
          <w:lang w:val="en-US" w:eastAsia="zh-CN"/>
        </w:rPr>
        <w:t>聚焦AIGC、超高清、未来显示等核心技术攻关，加快开辟数智内容生成、沉浸交互体验等新赛道</w:t>
      </w:r>
      <w:r>
        <w:rPr>
          <w:color w:val="auto"/>
          <w:szCs w:val="32"/>
          <w:highlight w:val="none"/>
        </w:rPr>
        <w:t>，抢占文化科技融合制高点。</w:t>
      </w:r>
      <w:r>
        <w:rPr>
          <w:rFonts w:hint="eastAsia"/>
          <w:color w:val="auto"/>
          <w:szCs w:val="32"/>
          <w:highlight w:val="none"/>
        </w:rPr>
        <w:t>优化文化产业公共服务，</w:t>
      </w:r>
      <w:r>
        <w:rPr>
          <w:rFonts w:hint="eastAsia" w:ascii="Times New Roman" w:hAnsi="Times New Roman" w:eastAsia="仿宋_GB2312" w:cs="仿宋_GB2312"/>
          <w:b w:val="0"/>
          <w:bCs/>
          <w:color w:val="auto"/>
          <w:sz w:val="32"/>
          <w:szCs w:val="32"/>
          <w:highlight w:val="none"/>
          <w:lang w:val="en-US" w:eastAsia="zh-CN"/>
        </w:rPr>
        <w:t>推进虚拟数字影棚、影视数智化平台建设</w:t>
      </w:r>
      <w:r>
        <w:rPr>
          <w:color w:val="auto"/>
          <w:szCs w:val="32"/>
          <w:highlight w:val="none"/>
        </w:rPr>
        <w:t>，构建覆盖拍摄、剪辑、特效、后期等环节的影视摄制服务体系，</w:t>
      </w:r>
      <w:r>
        <w:rPr>
          <w:rFonts w:hint="eastAsia"/>
          <w:color w:val="auto"/>
          <w:szCs w:val="32"/>
          <w:highlight w:val="none"/>
        </w:rPr>
        <w:t>建设国际一流影视制作基地，打造全国大视听产业高质量发展的示范高地。</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1218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B44C0F7">
            <w:pPr>
              <w:pStyle w:val="36"/>
              <w:spacing w:before="218" w:beforeLines="50" w:after="218" w:afterLines="50" w:line="240" w:lineRule="auto"/>
              <w:rPr>
                <w:rFonts w:hint="default" w:eastAsiaTheme="minorEastAsia"/>
                <w:color w:val="auto"/>
                <w:highlight w:val="none"/>
              </w:rPr>
            </w:pPr>
            <w:bookmarkStart w:id="71" w:name="_Toc10434"/>
            <w:r>
              <w:rPr>
                <w:color w:val="auto"/>
                <w:highlight w:val="none"/>
              </w:rPr>
              <w:t>专栏</w:t>
            </w:r>
            <w:r>
              <w:rPr>
                <w:rFonts w:hint="eastAsia"/>
                <w:color w:val="auto"/>
                <w:highlight w:val="none"/>
                <w:lang w:val="en-US" w:eastAsia="zh-CN"/>
              </w:rPr>
              <w:t>5</w:t>
            </w:r>
            <w:r>
              <w:rPr>
                <w:color w:val="auto"/>
                <w:highlight w:val="none"/>
              </w:rPr>
              <w:t xml:space="preserve"> 新兴文化特色产业集群壮大行动</w:t>
            </w:r>
            <w:bookmarkEnd w:id="71"/>
          </w:p>
        </w:tc>
      </w:tr>
      <w:tr w14:paraId="4A81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1C0680E">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01数字视听产业</w:t>
            </w:r>
          </w:p>
          <w:p w14:paraId="0DF3CA8A">
            <w:pPr>
              <w:adjustRightInd w:val="0"/>
              <w:snapToGrid w:val="0"/>
              <w:spacing w:after="0" w:line="380" w:lineRule="exact"/>
              <w:ind w:left="640" w:leftChars="200"/>
              <w:rPr>
                <w:color w:val="auto"/>
                <w:kern w:val="0"/>
                <w:sz w:val="28"/>
                <w:szCs w:val="28"/>
                <w:highlight w:val="none"/>
              </w:rPr>
            </w:pPr>
            <w:r>
              <w:rPr>
                <w:rFonts w:hint="eastAsia" w:ascii="Times New Roman" w:hAnsi="Times New Roman" w:eastAsia="仿宋_GB2312" w:cs="仿宋_GB2312"/>
                <w:color w:val="auto"/>
                <w:kern w:val="0"/>
                <w:sz w:val="28"/>
                <w:szCs w:val="28"/>
                <w:highlight w:val="none"/>
              </w:rPr>
              <w:t>以国际一流影视制作基地建设为抓手，推</w:t>
            </w:r>
            <w:r>
              <w:rPr>
                <w:rFonts w:hint="default" w:ascii="Times New Roman" w:hAnsi="Times New Roman" w:eastAsia="仿宋_GB2312" w:cs="Times New Roman"/>
                <w:color w:val="auto"/>
                <w:kern w:val="0"/>
                <w:sz w:val="28"/>
                <w:szCs w:val="28"/>
                <w:highlight w:val="none"/>
              </w:rPr>
              <w:t>进</w:t>
            </w:r>
            <w:r>
              <w:rPr>
                <w:rFonts w:hint="default" w:ascii="Times New Roman" w:hAnsi="Times New Roman" w:eastAsia="仿宋_GB2312" w:cs="Times New Roman"/>
                <w:color w:val="auto"/>
                <w:kern w:val="0"/>
                <w:sz w:val="28"/>
                <w:szCs w:val="28"/>
                <w:highlight w:val="none"/>
                <w:lang w:val="en-US" w:eastAsia="zh-CN"/>
              </w:rPr>
              <w:t>AIGC</w:t>
            </w:r>
            <w:r>
              <w:rPr>
                <w:rFonts w:hint="default" w:ascii="Times New Roman" w:hAnsi="Times New Roman" w:eastAsia="仿宋_GB2312" w:cs="Times New Roman"/>
                <w:color w:val="auto"/>
                <w:kern w:val="0"/>
                <w:sz w:val="28"/>
                <w:szCs w:val="28"/>
                <w:highlight w:val="none"/>
              </w:rPr>
              <w:t>、</w:t>
            </w:r>
            <w:r>
              <w:rPr>
                <w:rFonts w:hint="eastAsia" w:ascii="Times New Roman" w:hAnsi="Times New Roman" w:eastAsia="仿宋_GB2312" w:cs="仿宋_GB2312"/>
                <w:color w:val="auto"/>
                <w:kern w:val="0"/>
                <w:sz w:val="28"/>
                <w:szCs w:val="28"/>
                <w:highlight w:val="none"/>
              </w:rPr>
              <w:t>超高清、沉浸式交互、云渲染、</w:t>
            </w:r>
            <w:r>
              <w:rPr>
                <w:rFonts w:hint="eastAsia" w:ascii="Times New Roman" w:hAnsi="Times New Roman" w:eastAsia="仿宋_GB2312" w:cs="Times New Roman"/>
                <w:color w:val="auto"/>
                <w:kern w:val="0"/>
                <w:sz w:val="28"/>
                <w:szCs w:val="28"/>
                <w:highlight w:val="none"/>
                <w:lang w:val="en-US" w:eastAsia="zh-CN"/>
              </w:rPr>
              <w:t>虚拟拍摄</w:t>
            </w:r>
            <w:r>
              <w:rPr>
                <w:rFonts w:hint="default" w:ascii="Times New Roman" w:hAnsi="Times New Roman" w:eastAsia="仿宋_GB2312" w:cs="Times New Roman"/>
                <w:color w:val="auto"/>
                <w:kern w:val="0"/>
                <w:sz w:val="28"/>
                <w:szCs w:val="28"/>
                <w:highlight w:val="none"/>
              </w:rPr>
              <w:t>等</w:t>
            </w:r>
            <w:r>
              <w:rPr>
                <w:rFonts w:hint="eastAsia" w:ascii="Times New Roman" w:hAnsi="Times New Roman" w:eastAsia="仿宋_GB2312" w:cs="仿宋_GB2312"/>
                <w:color w:val="auto"/>
                <w:kern w:val="0"/>
                <w:sz w:val="28"/>
                <w:szCs w:val="28"/>
                <w:highlight w:val="none"/>
              </w:rPr>
              <w:t>关键技术应用，提升</w:t>
            </w:r>
            <w:r>
              <w:rPr>
                <w:rFonts w:hint="eastAsia" w:ascii="Times New Roman" w:hAnsi="Times New Roman" w:cs="仿宋_GB2312"/>
                <w:color w:val="auto"/>
                <w:kern w:val="0"/>
                <w:sz w:val="28"/>
                <w:szCs w:val="28"/>
                <w:highlight w:val="none"/>
                <w:lang w:eastAsia="zh-CN"/>
              </w:rPr>
              <w:t>“</w:t>
            </w:r>
            <w:r>
              <w:rPr>
                <w:rFonts w:hint="eastAsia" w:ascii="Times New Roman" w:hAnsi="Times New Roman" w:eastAsia="仿宋_GB2312" w:cs="仿宋_GB2312"/>
                <w:color w:val="auto"/>
                <w:kern w:val="0"/>
                <w:sz w:val="28"/>
                <w:szCs w:val="28"/>
                <w:highlight w:val="none"/>
              </w:rPr>
              <w:t>北京出品、朝阳制作</w:t>
            </w:r>
            <w:r>
              <w:rPr>
                <w:rFonts w:hint="eastAsia" w:ascii="Times New Roman" w:hAnsi="Times New Roman" w:cs="仿宋_GB2312"/>
                <w:color w:val="auto"/>
                <w:kern w:val="0"/>
                <w:sz w:val="28"/>
                <w:szCs w:val="28"/>
                <w:highlight w:val="none"/>
                <w:lang w:eastAsia="zh-CN"/>
              </w:rPr>
              <w:t>”</w:t>
            </w:r>
            <w:r>
              <w:rPr>
                <w:rFonts w:hint="eastAsia" w:ascii="Times New Roman" w:hAnsi="Times New Roman" w:eastAsia="仿宋_GB2312" w:cs="仿宋_GB2312"/>
                <w:color w:val="auto"/>
                <w:kern w:val="0"/>
                <w:sz w:val="28"/>
                <w:szCs w:val="28"/>
                <w:highlight w:val="none"/>
              </w:rPr>
              <w:t>品牌影响力，建设数字视听精品内容创制高地。</w:t>
            </w:r>
          </w:p>
        </w:tc>
      </w:tr>
      <w:tr w14:paraId="31CF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BFA6506">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02数字出版产业</w:t>
            </w:r>
          </w:p>
          <w:p w14:paraId="6DF7BE39">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以全流程智能化、IP多模态开发激活出版数据资产，构建技术驱动、生态协同、价值跃升的数字出版新生态。</w:t>
            </w:r>
          </w:p>
        </w:tc>
      </w:tr>
      <w:tr w14:paraId="4992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AE80B5A">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03数字文娱产业</w:t>
            </w:r>
          </w:p>
          <w:p w14:paraId="21113D9B">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default" w:ascii="Times New Roman" w:hAnsi="Times New Roman" w:eastAsia="仿宋_GB2312" w:cs="仿宋_GB2312"/>
                <w:color w:val="auto"/>
                <w:kern w:val="0"/>
                <w:sz w:val="28"/>
                <w:szCs w:val="28"/>
                <w:highlight w:val="none"/>
              </w:rPr>
              <w:t>鼓励发展沉浸式、数字交互等创新艺术形式，依托超高清</w:t>
            </w:r>
            <w:r>
              <w:rPr>
                <w:rFonts w:hint="eastAsia" w:ascii="Times New Roman" w:hAnsi="Times New Roman"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第二现场</w:t>
            </w:r>
            <w:r>
              <w:rPr>
                <w:rFonts w:hint="eastAsia" w:ascii="Times New Roman" w:hAnsi="Times New Roman"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技术，</w:t>
            </w:r>
            <w:r>
              <w:rPr>
                <w:rFonts w:hint="eastAsia" w:ascii="Times New Roman" w:hAnsi="Times New Roman" w:eastAsia="仿宋_GB2312" w:cs="仿宋_GB2312"/>
                <w:color w:val="auto"/>
                <w:kern w:val="0"/>
                <w:sz w:val="28"/>
                <w:szCs w:val="28"/>
                <w:highlight w:val="none"/>
                <w:lang w:val="en-US" w:eastAsia="zh-CN"/>
              </w:rPr>
              <w:t>打造</w:t>
            </w:r>
            <w:r>
              <w:rPr>
                <w:rFonts w:hint="eastAsia" w:ascii="Times New Roman" w:hAnsi="Times New Roman" w:cs="仿宋_GB2312"/>
                <w:color w:val="auto"/>
                <w:kern w:val="0"/>
                <w:sz w:val="28"/>
                <w:szCs w:val="28"/>
                <w:highlight w:val="none"/>
                <w:lang w:val="en-US" w:eastAsia="zh-CN"/>
              </w:rPr>
              <w:t>“</w:t>
            </w:r>
            <w:r>
              <w:rPr>
                <w:rFonts w:hint="eastAsia" w:ascii="Times New Roman" w:hAnsi="Times New Roman" w:eastAsia="仿宋_GB2312" w:cs="仿宋_GB2312"/>
                <w:color w:val="auto"/>
                <w:kern w:val="0"/>
                <w:sz w:val="28"/>
                <w:szCs w:val="28"/>
                <w:highlight w:val="none"/>
                <w:lang w:val="en-US" w:eastAsia="zh-CN"/>
              </w:rPr>
              <w:t>超现场</w:t>
            </w:r>
            <w:r>
              <w:rPr>
                <w:rFonts w:hint="eastAsia" w:ascii="Times New Roman" w:hAnsi="Times New Roman" w:cs="仿宋_GB2312"/>
                <w:color w:val="auto"/>
                <w:kern w:val="0"/>
                <w:sz w:val="28"/>
                <w:szCs w:val="28"/>
                <w:highlight w:val="none"/>
                <w:lang w:val="en-US" w:eastAsia="zh-CN"/>
              </w:rPr>
              <w:t>”</w:t>
            </w:r>
            <w:r>
              <w:rPr>
                <w:rFonts w:hint="eastAsia" w:ascii="Times New Roman" w:hAnsi="Times New Roman" w:eastAsia="仿宋_GB2312" w:cs="仿宋_GB2312"/>
                <w:color w:val="auto"/>
                <w:kern w:val="0"/>
                <w:sz w:val="28"/>
                <w:szCs w:val="28"/>
                <w:highlight w:val="none"/>
                <w:lang w:val="en-US" w:eastAsia="zh-CN"/>
              </w:rPr>
              <w:t>，</w:t>
            </w:r>
            <w:r>
              <w:rPr>
                <w:rFonts w:hint="default" w:ascii="Times New Roman" w:hAnsi="Times New Roman" w:eastAsia="仿宋_GB2312" w:cs="仿宋_GB2312"/>
                <w:color w:val="auto"/>
                <w:kern w:val="0"/>
                <w:sz w:val="28"/>
                <w:szCs w:val="28"/>
                <w:highlight w:val="none"/>
              </w:rPr>
              <w:t>丰富数字文娱产品供给，建设一批智慧剧院、演艺新空间、数字艺术空间</w:t>
            </w:r>
            <w:r>
              <w:rPr>
                <w:rFonts w:hint="eastAsia" w:ascii="Times New Roman" w:hAnsi="Times New Roman" w:eastAsia="仿宋_GB2312" w:cs="仿宋_GB2312"/>
                <w:color w:val="auto"/>
                <w:kern w:val="0"/>
                <w:sz w:val="28"/>
                <w:szCs w:val="28"/>
                <w:highlight w:val="none"/>
                <w:lang w:eastAsia="zh-CN"/>
              </w:rPr>
              <w:t>。</w:t>
            </w:r>
          </w:p>
        </w:tc>
      </w:tr>
      <w:tr w14:paraId="31FD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C1C01EA">
            <w:pPr>
              <w:widowControl/>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04游戏电竞产业</w:t>
            </w:r>
          </w:p>
          <w:p w14:paraId="74B3A9CF">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聚焦技术创新与产业布局，培育</w:t>
            </w:r>
            <w:r>
              <w:rPr>
                <w:rFonts w:hint="eastAsia"/>
                <w:color w:val="auto"/>
                <w:kern w:val="0"/>
                <w:sz w:val="28"/>
                <w:szCs w:val="28"/>
                <w:highlight w:val="none"/>
                <w:lang w:eastAsia="zh-CN"/>
              </w:rPr>
              <w:t>“</w:t>
            </w:r>
            <w:r>
              <w:rPr>
                <w:rFonts w:hint="eastAsia"/>
                <w:color w:val="auto"/>
                <w:kern w:val="0"/>
                <w:sz w:val="28"/>
                <w:szCs w:val="28"/>
                <w:highlight w:val="none"/>
              </w:rPr>
              <w:t>赛事+消费+衍生</w:t>
            </w:r>
            <w:r>
              <w:rPr>
                <w:rFonts w:hint="eastAsia"/>
                <w:color w:val="auto"/>
                <w:kern w:val="0"/>
                <w:sz w:val="28"/>
                <w:szCs w:val="28"/>
                <w:highlight w:val="none"/>
                <w:lang w:eastAsia="zh-CN"/>
              </w:rPr>
              <w:t>”消费矩阵</w:t>
            </w:r>
            <w:r>
              <w:rPr>
                <w:rFonts w:hint="eastAsia"/>
                <w:color w:val="auto"/>
                <w:kern w:val="0"/>
                <w:sz w:val="28"/>
                <w:szCs w:val="28"/>
                <w:highlight w:val="none"/>
              </w:rPr>
              <w:t>，促进电竞与音乐、影视、潮玩等产业深度融合，打造高能级电竞产业集聚</w:t>
            </w:r>
            <w:r>
              <w:rPr>
                <w:rFonts w:hint="eastAsia"/>
                <w:color w:val="auto"/>
                <w:kern w:val="0"/>
                <w:sz w:val="28"/>
                <w:szCs w:val="28"/>
                <w:highlight w:val="none"/>
                <w:lang w:val="en-US" w:eastAsia="zh-CN"/>
              </w:rPr>
              <w:t>地</w:t>
            </w:r>
            <w:r>
              <w:rPr>
                <w:rFonts w:hint="eastAsia"/>
                <w:color w:val="auto"/>
                <w:kern w:val="0"/>
                <w:sz w:val="28"/>
                <w:szCs w:val="28"/>
                <w:highlight w:val="none"/>
              </w:rPr>
              <w:t>。</w:t>
            </w:r>
          </w:p>
        </w:tc>
      </w:tr>
      <w:tr w14:paraId="476E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D8468D8">
            <w:pPr>
              <w:widowControl/>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05</w:t>
            </w:r>
            <w:r>
              <w:rPr>
                <w:rFonts w:hint="eastAsia" w:eastAsia="楷体_GB2312"/>
                <w:color w:val="auto"/>
                <w:kern w:val="0"/>
                <w:sz w:val="28"/>
                <w:szCs w:val="28"/>
                <w:highlight w:val="none"/>
                <w:lang w:val="en-US" w:eastAsia="zh-CN"/>
              </w:rPr>
              <w:t xml:space="preserve"> </w:t>
            </w:r>
            <w:r>
              <w:rPr>
                <w:rFonts w:hint="eastAsia" w:ascii="Times New Roman" w:hAnsi="Times New Roman" w:eastAsia="楷体_GB2312" w:cs="Times New Roman"/>
                <w:color w:val="auto"/>
                <w:kern w:val="0"/>
                <w:sz w:val="28"/>
                <w:szCs w:val="28"/>
                <w:highlight w:val="none"/>
                <w:lang w:val="en-US" w:eastAsia="zh-CN"/>
              </w:rPr>
              <w:t>IP潮玩</w:t>
            </w:r>
            <w:r>
              <w:rPr>
                <w:rFonts w:hint="default" w:ascii="Times New Roman" w:hAnsi="Times New Roman" w:eastAsia="楷体_GB2312" w:cs="Times New Roman"/>
                <w:color w:val="auto"/>
                <w:kern w:val="0"/>
                <w:sz w:val="28"/>
                <w:szCs w:val="28"/>
                <w:highlight w:val="none"/>
              </w:rPr>
              <w:t>产业</w:t>
            </w:r>
          </w:p>
          <w:p w14:paraId="1268F4EE">
            <w:pPr>
              <w:adjustRightInd w:val="0"/>
              <w:snapToGrid w:val="0"/>
              <w:spacing w:after="0" w:line="380" w:lineRule="exact"/>
              <w:ind w:left="640" w:leftChars="200"/>
              <w:rPr>
                <w:color w:val="auto"/>
                <w:kern w:val="0"/>
                <w:sz w:val="28"/>
                <w:szCs w:val="28"/>
                <w:highlight w:val="none"/>
              </w:rPr>
            </w:pPr>
            <w:r>
              <w:rPr>
                <w:rFonts w:hint="default" w:ascii="Times New Roman" w:hAnsi="Times New Roman" w:eastAsia="仿宋_GB2312" w:cs="仿宋_GB2312"/>
                <w:color w:val="auto"/>
                <w:kern w:val="0"/>
                <w:sz w:val="28"/>
                <w:szCs w:val="28"/>
                <w:highlight w:val="none"/>
              </w:rPr>
              <w:t>构建涵盖原创孵化、主体培育、场景赋能、运营推广等环节</w:t>
            </w:r>
            <w:r>
              <w:rPr>
                <w:rFonts w:hint="default" w:ascii="Times New Roman" w:hAnsi="Times New Roman" w:eastAsia="仿宋_GB2312" w:cs="Times New Roman"/>
                <w:color w:val="auto"/>
                <w:kern w:val="0"/>
                <w:sz w:val="28"/>
                <w:szCs w:val="28"/>
                <w:highlight w:val="none"/>
              </w:rPr>
              <w:t>的IP</w:t>
            </w:r>
            <w:r>
              <w:rPr>
                <w:rFonts w:hint="default" w:ascii="Times New Roman" w:hAnsi="Times New Roman" w:eastAsia="仿宋_GB2312" w:cs="仿宋_GB2312"/>
                <w:color w:val="auto"/>
                <w:kern w:val="0"/>
                <w:sz w:val="28"/>
                <w:szCs w:val="28"/>
                <w:highlight w:val="none"/>
              </w:rPr>
              <w:t>潮玩生态闭环，丰富</w:t>
            </w:r>
            <w:r>
              <w:rPr>
                <w:rFonts w:hint="default" w:ascii="Times New Roman" w:hAnsi="Times New Roman" w:eastAsia="仿宋_GB2312" w:cs="Times New Roman"/>
                <w:color w:val="auto"/>
                <w:kern w:val="0"/>
                <w:sz w:val="28"/>
                <w:szCs w:val="28"/>
                <w:highlight w:val="none"/>
              </w:rPr>
              <w:t>IP</w:t>
            </w:r>
            <w:r>
              <w:rPr>
                <w:rFonts w:hint="default" w:ascii="Times New Roman" w:hAnsi="Times New Roman" w:eastAsia="仿宋_GB2312" w:cs="仿宋_GB2312"/>
                <w:color w:val="auto"/>
                <w:kern w:val="0"/>
                <w:sz w:val="28"/>
                <w:szCs w:val="28"/>
                <w:highlight w:val="none"/>
              </w:rPr>
              <w:t>潮玩产品特色供给</w:t>
            </w:r>
            <w:r>
              <w:rPr>
                <w:rFonts w:hint="eastAsia" w:ascii="Times New Roman" w:hAnsi="Times New Roman" w:eastAsia="仿宋_GB2312"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全力打造国际潮玩创新策源地和品牌聚集地</w:t>
            </w:r>
            <w:r>
              <w:rPr>
                <w:rFonts w:hint="eastAsia" w:ascii="Times New Roman" w:hAnsi="Times New Roman" w:eastAsia="仿宋_GB2312" w:cs="仿宋_GB2312"/>
                <w:color w:val="auto"/>
                <w:kern w:val="0"/>
                <w:sz w:val="28"/>
                <w:szCs w:val="28"/>
                <w:highlight w:val="none"/>
                <w:lang w:eastAsia="zh-CN"/>
              </w:rPr>
              <w:t>。</w:t>
            </w:r>
          </w:p>
        </w:tc>
      </w:tr>
    </w:tbl>
    <w:p w14:paraId="526668A2">
      <w:pPr>
        <w:adjustRightInd w:val="0"/>
        <w:spacing w:line="560" w:lineRule="exact"/>
        <w:ind w:firstLine="643" w:firstLineChars="200"/>
        <w:rPr>
          <w:color w:val="auto"/>
          <w:szCs w:val="32"/>
          <w:highlight w:val="none"/>
        </w:rPr>
      </w:pPr>
      <w:r>
        <w:rPr>
          <w:rFonts w:hint="eastAsia"/>
          <w:b/>
          <w:bCs/>
          <w:color w:val="auto"/>
          <w:szCs w:val="32"/>
          <w:highlight w:val="none"/>
        </w:rPr>
        <w:t>推动文化产业开放创新。</w:t>
      </w:r>
      <w:r>
        <w:rPr>
          <w:rFonts w:hint="eastAsia"/>
          <w:color w:val="auto"/>
          <w:szCs w:val="32"/>
          <w:highlight w:val="none"/>
        </w:rPr>
        <w:t>鼓励文化企业积极利用全球创新资源，深化国际产业和技术合作，支持影视制作机构开展国际合拍。加快推动人工智能、虚拟现实等前沿技术在文化领域的创新应用，促进优秀文化资源、文娱模式数字化开发</w:t>
      </w:r>
      <w:r>
        <w:rPr>
          <w:rFonts w:hint="eastAsia"/>
          <w:color w:val="auto"/>
          <w:szCs w:val="32"/>
          <w:highlight w:val="none"/>
          <w:lang w:eastAsia="zh-CN"/>
        </w:rPr>
        <w:t>。</w:t>
      </w:r>
      <w:r>
        <w:rPr>
          <w:rFonts w:hint="eastAsia"/>
          <w:color w:val="auto"/>
          <w:szCs w:val="32"/>
          <w:highlight w:val="none"/>
        </w:rPr>
        <w:t>提升文化价值，大力发展数字文化贸易。</w:t>
      </w:r>
    </w:p>
    <w:p w14:paraId="53870890">
      <w:pPr>
        <w:widowControl/>
        <w:adjustRightInd w:val="0"/>
        <w:snapToGrid w:val="0"/>
        <w:spacing w:line="560" w:lineRule="exact"/>
        <w:ind w:firstLine="643" w:firstLineChars="200"/>
        <w:jc w:val="left"/>
        <w:rPr>
          <w:color w:val="auto"/>
          <w:szCs w:val="32"/>
          <w:highlight w:val="none"/>
        </w:rPr>
      </w:pPr>
      <w:r>
        <w:rPr>
          <w:rFonts w:hint="eastAsia"/>
          <w:b/>
          <w:bCs/>
          <w:color w:val="auto"/>
          <w:szCs w:val="32"/>
          <w:highlight w:val="none"/>
        </w:rPr>
        <w:t>加强文化领域国际</w:t>
      </w:r>
      <w:r>
        <w:rPr>
          <w:rFonts w:hint="eastAsia"/>
          <w:b/>
          <w:bCs/>
          <w:color w:val="auto"/>
          <w:szCs w:val="32"/>
          <w:highlight w:val="none"/>
          <w:lang w:eastAsia="zh-CN"/>
        </w:rPr>
        <w:t>合作</w:t>
      </w:r>
      <w:r>
        <w:rPr>
          <w:rFonts w:hint="eastAsia"/>
          <w:b/>
          <w:bCs/>
          <w:color w:val="auto"/>
          <w:szCs w:val="32"/>
          <w:highlight w:val="none"/>
        </w:rPr>
        <w:t>。</w:t>
      </w:r>
      <w:r>
        <w:rPr>
          <w:rFonts w:hint="eastAsia"/>
          <w:color w:val="auto"/>
          <w:szCs w:val="32"/>
          <w:highlight w:val="none"/>
        </w:rPr>
        <w:t>支持海内外优秀文化产品在朝阳区首发、首演、首映、首展，</w:t>
      </w:r>
      <w:r>
        <w:rPr>
          <w:rFonts w:hint="eastAsia" w:ascii="Times New Roman" w:hAnsi="Times New Roman"/>
          <w:color w:val="auto"/>
          <w:highlight w:val="none"/>
          <w:lang w:val="en-US" w:eastAsia="zh-CN"/>
        </w:rPr>
        <w:t>鼓励引入国际精品赛事，支持举办涉外电影展映和交流合作活动，</w:t>
      </w:r>
      <w:r>
        <w:rPr>
          <w:rFonts w:hint="eastAsia"/>
          <w:color w:val="auto"/>
          <w:szCs w:val="32"/>
          <w:highlight w:val="none"/>
        </w:rPr>
        <w:t>打造一批具有国际影响力的节事、展会，支持企业参加重要国际性文化节展。加强与友好城市及海外重点地区</w:t>
      </w:r>
      <w:r>
        <w:rPr>
          <w:rFonts w:hint="eastAsia"/>
          <w:color w:val="auto"/>
          <w:szCs w:val="32"/>
          <w:highlight w:val="none"/>
          <w:lang w:eastAsia="zh-CN"/>
        </w:rPr>
        <w:t>的</w:t>
      </w:r>
      <w:r>
        <w:rPr>
          <w:rFonts w:hint="eastAsia"/>
          <w:color w:val="auto"/>
          <w:szCs w:val="32"/>
          <w:highlight w:val="none"/>
        </w:rPr>
        <w:t>互动交流，</w:t>
      </w:r>
      <w:r>
        <w:rPr>
          <w:rFonts w:hint="eastAsia" w:ascii="Times New Roman" w:hAnsi="Times New Roman" w:eastAsia="仿宋_GB2312" w:cs="仿宋_GB2312"/>
          <w:b w:val="0"/>
          <w:bCs/>
          <w:color w:val="auto"/>
          <w:sz w:val="32"/>
          <w:szCs w:val="32"/>
          <w:highlight w:val="none"/>
          <w:lang w:val="en-US" w:eastAsia="zh-CN"/>
        </w:rPr>
        <w:t>通过北京优秀影视剧海外展播季等平台</w:t>
      </w:r>
      <w:r>
        <w:rPr>
          <w:color w:val="auto"/>
          <w:szCs w:val="32"/>
          <w:highlight w:val="none"/>
        </w:rPr>
        <w:t>，</w:t>
      </w:r>
      <w:r>
        <w:rPr>
          <w:rFonts w:hint="eastAsia"/>
          <w:color w:val="auto"/>
          <w:szCs w:val="32"/>
          <w:highlight w:val="none"/>
        </w:rPr>
        <w:t>推动优秀影视作品拓展国际市场。</w:t>
      </w:r>
      <w:r>
        <w:rPr>
          <w:color w:val="auto"/>
          <w:szCs w:val="32"/>
          <w:highlight w:val="none"/>
        </w:rPr>
        <w:t>聚焦游戏、微短剧、网络文学、潮玩等重点领域，</w:t>
      </w:r>
      <w:r>
        <w:rPr>
          <w:rFonts w:hint="eastAsia"/>
          <w:color w:val="auto"/>
          <w:szCs w:val="32"/>
          <w:highlight w:val="none"/>
        </w:rPr>
        <w:t>推动</w:t>
      </w:r>
      <w:r>
        <w:rPr>
          <w:color w:val="auto"/>
          <w:szCs w:val="32"/>
          <w:highlight w:val="none"/>
        </w:rPr>
        <w:t>虚拟数字人、AIGC内容等新型文化业态</w:t>
      </w:r>
      <w:r>
        <w:rPr>
          <w:rFonts w:hint="eastAsia"/>
          <w:color w:val="auto"/>
          <w:szCs w:val="32"/>
          <w:highlight w:val="none"/>
        </w:rPr>
        <w:t>国际合作，</w:t>
      </w:r>
      <w:r>
        <w:rPr>
          <w:rFonts w:hint="eastAsia" w:ascii="Times New Roman" w:hAnsi="Times New Roman" w:cs="仿宋_GB2312"/>
          <w:color w:val="auto"/>
          <w:szCs w:val="32"/>
          <w:highlight w:val="none"/>
        </w:rPr>
        <w:t>积极融入全球文化内容生态</w:t>
      </w:r>
      <w:r>
        <w:rPr>
          <w:rFonts w:hint="eastAsia"/>
          <w:color w:val="auto"/>
          <w:szCs w:val="32"/>
          <w:highlight w:val="none"/>
        </w:rPr>
        <w:t>。</w:t>
      </w:r>
    </w:p>
    <w:bookmarkEnd w:id="69"/>
    <w:bookmarkEnd w:id="70"/>
    <w:p w14:paraId="349D911E">
      <w:pPr>
        <w:widowControl/>
        <w:jc w:val="left"/>
        <w:rPr>
          <w:rFonts w:hint="eastAsia" w:ascii="Times New Roman" w:hAnsi="Times New Roman" w:eastAsia="黑体"/>
          <w:color w:val="auto"/>
          <w:szCs w:val="32"/>
          <w:highlight w:val="none"/>
        </w:rPr>
        <w:sectPr>
          <w:footerReference r:id="rId9" w:type="default"/>
          <w:pgSz w:w="11906" w:h="16838"/>
          <w:pgMar w:top="2098" w:right="1474" w:bottom="1984" w:left="1587" w:header="851" w:footer="992" w:gutter="0"/>
          <w:pgNumType w:fmt="decimal" w:start="1"/>
          <w:cols w:space="0" w:num="1"/>
          <w:rtlGutter w:val="0"/>
          <w:docGrid w:type="lines" w:linePitch="443" w:charSpace="0"/>
        </w:sectPr>
      </w:pPr>
      <w:bookmarkStart w:id="72" w:name="_Toc11504"/>
      <w:bookmarkStart w:id="73" w:name="_Toc6146"/>
    </w:p>
    <w:p w14:paraId="2BFD6E1E">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default" w:ascii="Times New Roman" w:hAnsi="Times New Roman" w:eastAsia="方正小标宋简体" w:cs="Times New Roman"/>
          <w:color w:val="auto"/>
          <w:kern w:val="44"/>
          <w:sz w:val="36"/>
          <w:szCs w:val="36"/>
          <w:highlight w:val="none"/>
          <w:lang w:val="en-US" w:eastAsia="zh-CN"/>
        </w:rPr>
      </w:pPr>
      <w:bookmarkStart w:id="74" w:name="_Toc24247"/>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四</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培育增量发展动能 促进对外贸易提质增效</w:t>
      </w:r>
      <w:bookmarkEnd w:id="74"/>
    </w:p>
    <w:p w14:paraId="13C1C805">
      <w:pPr>
        <w:spacing w:line="560" w:lineRule="exact"/>
        <w:ind w:firstLine="640" w:firstLineChars="200"/>
        <w:rPr>
          <w:rFonts w:hint="default" w:ascii="Times New Roman" w:hAnsi="Times New Roman" w:eastAsia="仿宋_GB2312" w:cs="Times New Roman"/>
          <w:b w:val="0"/>
          <w:bCs w:val="0"/>
          <w:color w:val="auto"/>
          <w:kern w:val="0"/>
          <w:sz w:val="32"/>
          <w:szCs w:val="32"/>
          <w:highlight w:val="none"/>
          <w:lang w:val="en-US" w:eastAsia="zh-CN" w:bidi="ar"/>
        </w:rPr>
      </w:pPr>
      <w:r>
        <w:rPr>
          <w:rFonts w:hint="eastAsia" w:eastAsia="仿宋_GB2312" w:cs="Times New Roman"/>
          <w:b w:val="0"/>
          <w:bCs w:val="0"/>
          <w:color w:val="auto"/>
          <w:kern w:val="0"/>
          <w:sz w:val="32"/>
          <w:szCs w:val="32"/>
          <w:highlight w:val="none"/>
          <w:lang w:val="en-US" w:eastAsia="zh-CN" w:bidi="ar"/>
        </w:rPr>
        <w:t>推动</w:t>
      </w:r>
      <w:r>
        <w:rPr>
          <w:rFonts w:hint="eastAsia" w:cs="Times New Roman"/>
          <w:b w:val="0"/>
          <w:bCs w:val="0"/>
          <w:color w:val="auto"/>
          <w:kern w:val="0"/>
          <w:sz w:val="32"/>
          <w:szCs w:val="32"/>
          <w:highlight w:val="none"/>
          <w:lang w:val="en-US" w:eastAsia="zh-CN" w:bidi="ar"/>
        </w:rPr>
        <w:t>外贸稳规模、优结构</w:t>
      </w:r>
      <w:r>
        <w:rPr>
          <w:rFonts w:hint="eastAsia" w:ascii="Times New Roman" w:hAnsi="Times New Roman" w:cs="Times New Roman"/>
          <w:b w:val="0"/>
          <w:bCs w:val="0"/>
          <w:color w:val="auto"/>
          <w:kern w:val="0"/>
          <w:sz w:val="32"/>
          <w:szCs w:val="32"/>
          <w:highlight w:val="none"/>
          <w:lang w:val="en-US" w:eastAsia="zh-CN" w:bidi="ar"/>
        </w:rPr>
        <w:t>、促发展</w:t>
      </w:r>
      <w:r>
        <w:rPr>
          <w:rFonts w:hint="eastAsia" w:cs="Times New Roman"/>
          <w:b w:val="0"/>
          <w:bCs w:val="0"/>
          <w:color w:val="auto"/>
          <w:kern w:val="0"/>
          <w:sz w:val="32"/>
          <w:szCs w:val="32"/>
          <w:highlight w:val="none"/>
          <w:lang w:val="en-US" w:eastAsia="zh-CN" w:bidi="ar"/>
        </w:rPr>
        <w:t>，优化升级货物贸易，大力发展服务贸易，创新</w:t>
      </w:r>
      <w:r>
        <w:rPr>
          <w:rFonts w:hint="eastAsia" w:ascii="Times New Roman" w:hAnsi="Times New Roman" w:cs="Times New Roman"/>
          <w:b w:val="0"/>
          <w:bCs w:val="0"/>
          <w:color w:val="auto"/>
          <w:kern w:val="0"/>
          <w:sz w:val="32"/>
          <w:szCs w:val="32"/>
          <w:highlight w:val="none"/>
          <w:lang w:val="en-US" w:eastAsia="zh-CN" w:bidi="ar"/>
        </w:rPr>
        <w:t>提升</w:t>
      </w:r>
      <w:r>
        <w:rPr>
          <w:rFonts w:hint="eastAsia" w:cs="Times New Roman"/>
          <w:b w:val="0"/>
          <w:bCs w:val="0"/>
          <w:color w:val="auto"/>
          <w:kern w:val="0"/>
          <w:sz w:val="32"/>
          <w:szCs w:val="32"/>
          <w:highlight w:val="none"/>
          <w:lang w:val="en-US" w:eastAsia="zh-CN" w:bidi="ar"/>
        </w:rPr>
        <w:t>数字贸易，增强外贸综合竞争力，促进外贸提质增效。</w:t>
      </w:r>
    </w:p>
    <w:p w14:paraId="6403440D">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75" w:name="_Toc1402"/>
      <w:r>
        <w:rPr>
          <w:rFonts w:hint="eastAsia" w:ascii="Times New Roman" w:hAnsi="Times New Roman" w:eastAsia="黑体" w:cs="黑体"/>
          <w:b w:val="0"/>
          <w:bCs w:val="0"/>
          <w:color w:val="auto"/>
          <w:sz w:val="32"/>
          <w:szCs w:val="32"/>
          <w:highlight w:val="none"/>
          <w:lang w:val="en-US" w:eastAsia="zh-CN"/>
        </w:rPr>
        <w:t>第一节 推动</w:t>
      </w:r>
      <w:r>
        <w:rPr>
          <w:rFonts w:hint="eastAsia" w:ascii="Times New Roman" w:hAnsi="Times New Roman" w:eastAsia="黑体" w:cs="黑体"/>
          <w:b w:val="0"/>
          <w:bCs w:val="0"/>
          <w:color w:val="auto"/>
          <w:sz w:val="32"/>
          <w:szCs w:val="32"/>
          <w:highlight w:val="none"/>
        </w:rPr>
        <w:t>货物贸易</w:t>
      </w:r>
      <w:r>
        <w:rPr>
          <w:rFonts w:hint="eastAsia" w:ascii="Times New Roman" w:hAnsi="Times New Roman" w:eastAsia="黑体" w:cs="黑体"/>
          <w:b w:val="0"/>
          <w:bCs w:val="0"/>
          <w:color w:val="auto"/>
          <w:sz w:val="32"/>
          <w:szCs w:val="32"/>
          <w:highlight w:val="none"/>
          <w:lang w:val="en-US" w:eastAsia="zh-CN"/>
        </w:rPr>
        <w:t>优化升级</w:t>
      </w:r>
      <w:bookmarkEnd w:id="75"/>
    </w:p>
    <w:p w14:paraId="2558764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strike w:val="0"/>
          <w:color w:val="auto"/>
          <w:szCs w:val="32"/>
          <w:highlight w:val="none"/>
        </w:rPr>
      </w:pPr>
      <w:r>
        <w:rPr>
          <w:rFonts w:hint="eastAsia" w:eastAsia="仿宋_GB2312"/>
          <w:b/>
          <w:bCs/>
          <w:color w:val="auto"/>
          <w:kern w:val="0"/>
          <w:sz w:val="32"/>
          <w:szCs w:val="32"/>
          <w:highlight w:val="none"/>
          <w:lang w:bidi="ar"/>
        </w:rPr>
        <w:t>培育货物贸易发展新动能</w:t>
      </w:r>
      <w:r>
        <w:rPr>
          <w:rFonts w:hint="eastAsia"/>
          <w:b/>
          <w:bCs/>
          <w:color w:val="auto"/>
          <w:kern w:val="0"/>
          <w:sz w:val="32"/>
          <w:szCs w:val="32"/>
          <w:highlight w:val="none"/>
          <w:lang w:eastAsia="zh-CN" w:bidi="ar"/>
        </w:rPr>
        <w:t>。</w:t>
      </w:r>
      <w:r>
        <w:rPr>
          <w:rFonts w:hint="eastAsia"/>
          <w:b w:val="0"/>
          <w:bCs w:val="0"/>
          <w:strike w:val="0"/>
          <w:color w:val="auto"/>
          <w:kern w:val="0"/>
          <w:sz w:val="32"/>
          <w:szCs w:val="32"/>
          <w:highlight w:val="none"/>
          <w:lang w:eastAsia="zh-CN" w:bidi="ar"/>
        </w:rPr>
        <w:t>稳定贸易进口优势，</w:t>
      </w:r>
      <w:r>
        <w:rPr>
          <w:rFonts w:hint="eastAsia"/>
          <w:color w:val="auto"/>
          <w:kern w:val="0"/>
          <w:sz w:val="32"/>
          <w:szCs w:val="32"/>
          <w:highlight w:val="none"/>
          <w:lang w:val="en-US" w:eastAsia="zh-CN" w:bidi="ar"/>
        </w:rPr>
        <w:t>抓住国家自主开放和单边开放等政策机遇，巩固原油、天然气、农产品等传统外贸优势，</w:t>
      </w:r>
      <w:r>
        <w:rPr>
          <w:rFonts w:hint="eastAsia" w:eastAsia="仿宋_GB2312"/>
          <w:color w:val="auto"/>
          <w:kern w:val="0"/>
          <w:sz w:val="32"/>
          <w:szCs w:val="32"/>
          <w:highlight w:val="none"/>
          <w:lang w:bidi="ar"/>
        </w:rPr>
        <w:t>支持大宗商品贸易企业</w:t>
      </w:r>
      <w:r>
        <w:rPr>
          <w:rFonts w:hint="eastAsia"/>
          <w:color w:val="auto"/>
          <w:kern w:val="0"/>
          <w:sz w:val="32"/>
          <w:szCs w:val="32"/>
          <w:highlight w:val="none"/>
          <w:lang w:eastAsia="zh-CN" w:bidi="ar"/>
        </w:rPr>
        <w:t>发展，鼓励关键技术与设备进口，</w:t>
      </w:r>
      <w:r>
        <w:rPr>
          <w:rFonts w:hint="eastAsia"/>
          <w:color w:val="auto"/>
          <w:szCs w:val="32"/>
          <w:highlight w:val="none"/>
          <w:lang w:eastAsia="zh-CN"/>
        </w:rPr>
        <w:t>拓展</w:t>
      </w:r>
      <w:r>
        <w:rPr>
          <w:rFonts w:hint="eastAsia"/>
          <w:color w:val="auto"/>
          <w:szCs w:val="32"/>
          <w:highlight w:val="none"/>
        </w:rPr>
        <w:t>中间品贸易</w:t>
      </w:r>
      <w:r>
        <w:rPr>
          <w:rFonts w:hint="eastAsia"/>
          <w:color w:val="auto"/>
          <w:szCs w:val="32"/>
          <w:highlight w:val="none"/>
          <w:lang w:eastAsia="zh-CN"/>
        </w:rPr>
        <w:t>等新增长点。</w:t>
      </w:r>
      <w:r>
        <w:rPr>
          <w:rFonts w:hint="eastAsia"/>
          <w:b w:val="0"/>
          <w:bCs w:val="0"/>
          <w:color w:val="auto"/>
          <w:kern w:val="0"/>
          <w:sz w:val="32"/>
          <w:szCs w:val="32"/>
          <w:highlight w:val="none"/>
          <w:lang w:eastAsia="zh-CN" w:bidi="ar"/>
        </w:rPr>
        <w:t>优化出口贸易结构</w:t>
      </w:r>
      <w:r>
        <w:rPr>
          <w:rFonts w:hint="eastAsia"/>
          <w:color w:val="auto"/>
          <w:kern w:val="0"/>
          <w:sz w:val="32"/>
          <w:szCs w:val="32"/>
          <w:highlight w:val="none"/>
          <w:lang w:eastAsia="zh-CN" w:bidi="ar"/>
        </w:rPr>
        <w:t>，推动高新技术产品和自主品牌产品出口，探索</w:t>
      </w:r>
      <w:r>
        <w:rPr>
          <w:rFonts w:hint="eastAsia"/>
          <w:color w:val="auto"/>
          <w:kern w:val="0"/>
          <w:sz w:val="32"/>
          <w:szCs w:val="32"/>
          <w:highlight w:val="none"/>
          <w:lang w:val="en-US" w:eastAsia="zh-CN" w:bidi="ar"/>
        </w:rPr>
        <w:t>在文化、生物医药、新能源汽车等领域，培育未来产业出口新动能，支持“双自主”企业持续做大做强，塑造面向未来的国际竞争新优势</w:t>
      </w:r>
      <w:r>
        <w:rPr>
          <w:rFonts w:hint="eastAsia"/>
          <w:color w:val="auto"/>
          <w:kern w:val="0"/>
          <w:sz w:val="32"/>
          <w:szCs w:val="32"/>
          <w:highlight w:val="none"/>
          <w:lang w:eastAsia="zh-CN" w:bidi="ar"/>
        </w:rPr>
        <w:t>。</w:t>
      </w:r>
      <w:r>
        <w:rPr>
          <w:rFonts w:hint="eastAsia"/>
          <w:color w:val="auto"/>
          <w:kern w:val="0"/>
          <w:sz w:val="32"/>
          <w:szCs w:val="32"/>
          <w:highlight w:val="none"/>
          <w:lang w:eastAsia="zh-CN"/>
        </w:rPr>
        <w:t>积极拓展绿色贸易，</w:t>
      </w:r>
      <w:r>
        <w:rPr>
          <w:rFonts w:hint="eastAsia"/>
          <w:color w:val="auto"/>
          <w:szCs w:val="32"/>
          <w:highlight w:val="none"/>
          <w:lang w:eastAsia="zh-CN"/>
        </w:rPr>
        <w:t>增强绿色贸易功能服务，</w:t>
      </w:r>
      <w:r>
        <w:rPr>
          <w:rFonts w:hint="eastAsia"/>
          <w:color w:val="auto"/>
          <w:szCs w:val="32"/>
          <w:highlight w:val="none"/>
        </w:rPr>
        <w:t>推动再制造产品进口业务落地。</w:t>
      </w:r>
      <w:r>
        <w:rPr>
          <w:rFonts w:hint="eastAsia"/>
          <w:b w:val="0"/>
          <w:bCs w:val="0"/>
          <w:color w:val="auto"/>
          <w:szCs w:val="32"/>
          <w:highlight w:val="none"/>
          <w:lang w:eastAsia="zh-CN"/>
        </w:rPr>
        <w:t>稳步扩大新兴市场外贸规模，</w:t>
      </w:r>
      <w:r>
        <w:rPr>
          <w:rFonts w:hint="eastAsia" w:ascii="Times New Roman" w:hAnsi="Times New Roman"/>
          <w:b w:val="0"/>
          <w:bCs w:val="0"/>
          <w:color w:val="auto"/>
          <w:szCs w:val="32"/>
          <w:highlight w:val="none"/>
          <w:lang w:val="en-US" w:eastAsia="zh-CN"/>
        </w:rPr>
        <w:t>推进国际营销服务网络建设，帮助企业用好自由贸易协定，更好地对接国际市场</w:t>
      </w:r>
      <w:r>
        <w:rPr>
          <w:rFonts w:hint="eastAsia"/>
          <w:b w:val="0"/>
          <w:bCs w:val="0"/>
          <w:color w:val="auto"/>
          <w:szCs w:val="32"/>
          <w:highlight w:val="none"/>
          <w:lang w:val="en-US" w:eastAsia="zh-CN"/>
        </w:rPr>
        <w:t>，</w:t>
      </w:r>
      <w:r>
        <w:rPr>
          <w:rFonts w:hint="eastAsia" w:ascii="Times New Roman" w:hAnsi="Times New Roman"/>
          <w:b w:val="0"/>
          <w:bCs w:val="0"/>
          <w:color w:val="auto"/>
          <w:szCs w:val="32"/>
          <w:highlight w:val="none"/>
          <w:lang w:val="en-US" w:eastAsia="zh-CN"/>
        </w:rPr>
        <w:t>强化供需互配、深化国际互动，推动更多优质商品和服务从朝阳</w:t>
      </w:r>
      <w:r>
        <w:rPr>
          <w:rFonts w:hint="eastAsia"/>
          <w:b w:val="0"/>
          <w:bCs w:val="0"/>
          <w:color w:val="auto"/>
          <w:szCs w:val="32"/>
          <w:highlight w:val="none"/>
          <w:lang w:val="en-US" w:eastAsia="zh-CN"/>
        </w:rPr>
        <w:t>走向国际市场</w:t>
      </w:r>
      <w:r>
        <w:rPr>
          <w:rFonts w:hint="eastAsia"/>
          <w:strike w:val="0"/>
          <w:color w:val="auto"/>
          <w:szCs w:val="32"/>
          <w:highlight w:val="none"/>
          <w:lang w:eastAsia="zh-CN"/>
        </w:rPr>
        <w:t>。</w:t>
      </w:r>
    </w:p>
    <w:p w14:paraId="01AC4B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color w:val="auto"/>
          <w:kern w:val="0"/>
          <w:sz w:val="32"/>
          <w:szCs w:val="32"/>
          <w:highlight w:val="none"/>
        </w:rPr>
      </w:pPr>
      <w:r>
        <w:rPr>
          <w:rFonts w:hint="eastAsia"/>
          <w:b/>
          <w:bCs/>
          <w:color w:val="auto"/>
          <w:szCs w:val="32"/>
          <w:highlight w:val="none"/>
          <w:lang w:val="en-US" w:eastAsia="zh-CN"/>
        </w:rPr>
        <w:t>强化贸易服务支撑体系。</w:t>
      </w:r>
      <w:r>
        <w:rPr>
          <w:rFonts w:hint="eastAsia"/>
          <w:b w:val="0"/>
          <w:bCs w:val="0"/>
          <w:color w:val="auto"/>
          <w:szCs w:val="32"/>
          <w:highlight w:val="none"/>
          <w:lang w:val="en-US" w:eastAsia="zh-CN"/>
        </w:rPr>
        <w:t>提升贸易数字化水平，</w:t>
      </w:r>
      <w:r>
        <w:rPr>
          <w:rFonts w:hint="eastAsia"/>
          <w:color w:val="auto"/>
          <w:szCs w:val="32"/>
          <w:highlight w:val="none"/>
        </w:rPr>
        <w:t>推动跨境贸易全链条数字化赋能改革，积极推广以区块链技术底座为基础开展的全环节、分布式贸易数字化实单试点成果，逐步拓展试点国别（地区）、行业和链主型企业。推动电子提单、电子仓单等电子票据应用，推动电子签名在国际联运无纸化运输领域的应用。</w:t>
      </w:r>
      <w:r>
        <w:rPr>
          <w:rFonts w:hint="eastAsia"/>
          <w:color w:val="auto"/>
          <w:highlight w:val="none"/>
          <w:lang w:eastAsia="zh-CN"/>
        </w:rPr>
        <w:t>优化进出口信用管理，</w:t>
      </w:r>
      <w:r>
        <w:rPr>
          <w:rFonts w:hint="eastAsia"/>
          <w:color w:val="auto"/>
          <w:szCs w:val="32"/>
          <w:highlight w:val="none"/>
        </w:rPr>
        <w:t>加大经认证的经营者（AEO）等高能级贸易商培育力度</w:t>
      </w:r>
      <w:r>
        <w:rPr>
          <w:rFonts w:hint="eastAsia"/>
          <w:strike w:val="0"/>
          <w:color w:val="auto"/>
          <w:szCs w:val="32"/>
          <w:highlight w:val="none"/>
        </w:rPr>
        <w:t>，</w:t>
      </w:r>
      <w:r>
        <w:rPr>
          <w:rFonts w:hint="eastAsia"/>
          <w:strike w:val="0"/>
          <w:color w:val="auto"/>
          <w:szCs w:val="32"/>
          <w:highlight w:val="none"/>
          <w:lang w:eastAsia="zh-CN"/>
        </w:rPr>
        <w:t>聚焦国家新质生产力产业集群、总部型、专精特新、中间品等企业，开展条线化、模块化培育，</w:t>
      </w:r>
      <w:r>
        <w:rPr>
          <w:rFonts w:hint="eastAsia"/>
          <w:strike w:val="0"/>
          <w:color w:val="auto"/>
          <w:szCs w:val="32"/>
          <w:highlight w:val="none"/>
          <w:lang w:val="en-US" w:eastAsia="zh-CN"/>
        </w:rPr>
        <w:t>深化</w:t>
      </w:r>
      <w:r>
        <w:rPr>
          <w:rFonts w:hint="eastAsia"/>
          <w:strike w:val="0"/>
          <w:color w:val="auto"/>
          <w:szCs w:val="32"/>
          <w:highlight w:val="none"/>
          <w:lang w:eastAsia="zh-CN"/>
        </w:rPr>
        <w:t>“</w:t>
      </w:r>
      <w:r>
        <w:rPr>
          <w:rFonts w:hint="eastAsia"/>
          <w:strike w:val="0"/>
          <w:color w:val="auto"/>
          <w:szCs w:val="32"/>
          <w:highlight w:val="none"/>
        </w:rPr>
        <w:t>AEO+经核准出口商</w:t>
      </w:r>
      <w:r>
        <w:rPr>
          <w:rFonts w:hint="eastAsia"/>
          <w:strike w:val="0"/>
          <w:color w:val="auto"/>
          <w:szCs w:val="32"/>
          <w:highlight w:val="none"/>
          <w:lang w:eastAsia="zh-CN"/>
        </w:rPr>
        <w:t>”</w:t>
      </w:r>
      <w:r>
        <w:rPr>
          <w:rFonts w:hint="eastAsia"/>
          <w:strike w:val="0"/>
          <w:color w:val="auto"/>
          <w:szCs w:val="32"/>
          <w:highlight w:val="none"/>
        </w:rPr>
        <w:t>同步培育工作。</w:t>
      </w:r>
      <w:r>
        <w:rPr>
          <w:rFonts w:hint="eastAsia"/>
          <w:color w:val="auto"/>
          <w:kern w:val="0"/>
          <w:sz w:val="32"/>
          <w:szCs w:val="32"/>
          <w:highlight w:val="none"/>
          <w:lang w:eastAsia="zh-CN" w:bidi="ar"/>
        </w:rPr>
        <w:t>促进</w:t>
      </w:r>
      <w:r>
        <w:rPr>
          <w:rFonts w:hint="eastAsia"/>
          <w:b w:val="0"/>
          <w:bCs w:val="0"/>
          <w:color w:val="auto"/>
          <w:highlight w:val="none"/>
          <w:lang w:eastAsia="zh-CN"/>
        </w:rPr>
        <w:t>内外贸一体化发展，</w:t>
      </w:r>
      <w:r>
        <w:rPr>
          <w:rFonts w:hint="eastAsia"/>
          <w:color w:val="auto"/>
          <w:kern w:val="0"/>
          <w:sz w:val="32"/>
          <w:szCs w:val="32"/>
          <w:highlight w:val="none"/>
          <w:lang w:eastAsia="zh-CN" w:bidi="ar"/>
        </w:rPr>
        <w:t>发挥内外贸平台交流对接作用，</w:t>
      </w:r>
      <w:r>
        <w:rPr>
          <w:rFonts w:hint="eastAsia"/>
          <w:b w:val="0"/>
          <w:bCs w:val="0"/>
          <w:color w:val="auto"/>
          <w:szCs w:val="32"/>
          <w:highlight w:val="none"/>
          <w:lang w:val="en-US" w:eastAsia="zh-CN"/>
        </w:rPr>
        <w:t>依托各级会展平台，</w:t>
      </w:r>
      <w:r>
        <w:rPr>
          <w:rFonts w:hint="eastAsia"/>
          <w:color w:val="auto"/>
          <w:kern w:val="0"/>
          <w:sz w:val="32"/>
          <w:szCs w:val="32"/>
          <w:highlight w:val="none"/>
          <w:lang w:eastAsia="zh-CN" w:bidi="ar"/>
        </w:rPr>
        <w:t>推动国内国际市场供采对接，</w:t>
      </w:r>
      <w:r>
        <w:rPr>
          <w:rFonts w:hint="eastAsia"/>
          <w:b w:val="0"/>
          <w:bCs w:val="0"/>
          <w:color w:val="auto"/>
          <w:highlight w:val="none"/>
          <w:lang w:eastAsia="zh-CN"/>
        </w:rPr>
        <w:t>支持内外贸企业双向延伸</w:t>
      </w:r>
      <w:r>
        <w:rPr>
          <w:rFonts w:hint="eastAsia" w:eastAsia="仿宋_GB2312"/>
          <w:color w:val="auto"/>
          <w:kern w:val="0"/>
          <w:sz w:val="32"/>
          <w:szCs w:val="32"/>
          <w:highlight w:val="none"/>
        </w:rPr>
        <w:t>。</w:t>
      </w:r>
    </w:p>
    <w:p w14:paraId="1F356ADD">
      <w:pPr>
        <w:numPr>
          <w:ilvl w:val="0"/>
          <w:numId w:val="0"/>
        </w:numPr>
        <w:spacing w:line="560" w:lineRule="exact"/>
        <w:ind w:firstLine="643" w:firstLineChars="200"/>
        <w:rPr>
          <w:rFonts w:hint="eastAsia"/>
          <w:color w:val="auto"/>
          <w:highlight w:val="none"/>
          <w:lang w:val="en-US" w:eastAsia="zh-CN"/>
        </w:rPr>
      </w:pPr>
      <w:r>
        <w:rPr>
          <w:rFonts w:hint="eastAsia" w:ascii="Times New Roman" w:hAnsi="Times New Roman"/>
          <w:b/>
          <w:bCs/>
          <w:color w:val="auto"/>
          <w:szCs w:val="32"/>
          <w:highlight w:val="none"/>
          <w:lang w:val="en-US" w:eastAsia="zh-CN"/>
        </w:rPr>
        <w:t>大力</w:t>
      </w:r>
      <w:r>
        <w:rPr>
          <w:rFonts w:hint="eastAsia"/>
          <w:b/>
          <w:bCs/>
          <w:color w:val="auto"/>
          <w:szCs w:val="32"/>
          <w:highlight w:val="none"/>
        </w:rPr>
        <w:t>发展贸易新业态新模式。</w:t>
      </w:r>
      <w:r>
        <w:rPr>
          <w:rFonts w:hint="eastAsia"/>
          <w:b w:val="0"/>
          <w:bCs w:val="0"/>
          <w:color w:val="auto"/>
          <w:szCs w:val="32"/>
          <w:highlight w:val="none"/>
        </w:rPr>
        <w:t>鼓励跨境电商多模式展业，支持跨境电商业务企业、销售平台和服务企业发展，培育引进重点跨境电商企业。支持企业探索跨境电商业务，加速数字化、智能化转型，打造线上线下融合、境内境外联动营销体系。探索推进朝阳区保税物流中心（B型）建设，实行智慧监管，开展保税展示业务，创新跨境商品新零售模式。</w:t>
      </w:r>
      <w:r>
        <w:rPr>
          <w:rFonts w:hint="eastAsia"/>
          <w:b w:val="0"/>
          <w:bCs w:val="0"/>
          <w:color w:val="auto"/>
          <w:szCs w:val="32"/>
          <w:highlight w:val="none"/>
          <w:lang w:val="en-US" w:eastAsia="zh-CN"/>
        </w:rPr>
        <w:t>支持</w:t>
      </w:r>
      <w:r>
        <w:rPr>
          <w:rFonts w:hint="eastAsia"/>
          <w:color w:val="auto"/>
          <w:highlight w:val="none"/>
        </w:rPr>
        <w:t>网文、网游、网剧</w:t>
      </w:r>
      <w:r>
        <w:rPr>
          <w:rFonts w:hint="eastAsia"/>
          <w:color w:val="auto"/>
          <w:highlight w:val="none"/>
          <w:lang w:val="en-US" w:eastAsia="zh-CN"/>
        </w:rPr>
        <w:t>等贸易新业态发展。</w:t>
      </w:r>
      <w:r>
        <w:rPr>
          <w:rFonts w:hint="eastAsia"/>
          <w:b w:val="0"/>
          <w:bCs w:val="0"/>
          <w:color w:val="auto"/>
          <w:szCs w:val="32"/>
          <w:highlight w:val="none"/>
        </w:rPr>
        <w:t>鼓励发展新型离岸贸易业务，释放新型贸易方式潜力，吸引全球贸易资源集聚，提升国际经贸枢纽功能。</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3BB8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vAlign w:val="center"/>
          </w:tcPr>
          <w:p w14:paraId="02A84B3B">
            <w:pPr>
              <w:pStyle w:val="36"/>
              <w:spacing w:before="218" w:beforeLines="50" w:after="218" w:afterLines="50" w:line="240" w:lineRule="auto"/>
              <w:rPr>
                <w:rFonts w:hint="default" w:eastAsiaTheme="minorEastAsia"/>
                <w:color w:val="auto"/>
                <w:highlight w:val="none"/>
              </w:rPr>
            </w:pPr>
            <w:bookmarkStart w:id="76" w:name="_Toc27243"/>
            <w:bookmarkStart w:id="77" w:name="_Toc12876"/>
            <w:bookmarkStart w:id="78" w:name="_Toc23587"/>
            <w:r>
              <w:rPr>
                <w:color w:val="auto"/>
                <w:highlight w:val="none"/>
              </w:rPr>
              <w:t>专栏</w:t>
            </w:r>
            <w:r>
              <w:rPr>
                <w:rFonts w:hint="eastAsia"/>
                <w:color w:val="auto"/>
                <w:highlight w:val="none"/>
                <w:lang w:val="en-US" w:eastAsia="zh-CN"/>
              </w:rPr>
              <w:t>6</w:t>
            </w:r>
            <w:r>
              <w:rPr>
                <w:color w:val="auto"/>
                <w:highlight w:val="none"/>
              </w:rPr>
              <w:t xml:space="preserve"> 货物贸易便利化提升行动</w:t>
            </w:r>
            <w:bookmarkEnd w:id="76"/>
            <w:bookmarkEnd w:id="77"/>
            <w:bookmarkEnd w:id="78"/>
          </w:p>
        </w:tc>
      </w:tr>
      <w:tr w14:paraId="26AF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46A9C53">
            <w:pPr>
              <w:adjustRightInd w:val="0"/>
              <w:snapToGrid w:val="0"/>
              <w:spacing w:after="0" w:line="380" w:lineRule="exact"/>
              <w:jc w:val="left"/>
              <w:rPr>
                <w:rFonts w:hint="eastAsia" w:eastAsia="楷体_GB2312"/>
                <w:color w:val="auto"/>
                <w:kern w:val="0"/>
                <w:sz w:val="28"/>
                <w:szCs w:val="28"/>
                <w:highlight w:val="none"/>
                <w:lang w:eastAsia="zh-CN"/>
              </w:rPr>
            </w:pPr>
            <w:r>
              <w:rPr>
                <w:rFonts w:eastAsia="楷体_GB2312"/>
                <w:i w:val="0"/>
                <w:iCs w:val="0"/>
                <w:color w:val="auto"/>
                <w:kern w:val="0"/>
                <w:sz w:val="28"/>
                <w:szCs w:val="28"/>
                <w:highlight w:val="none"/>
              </w:rPr>
              <w:t>01</w:t>
            </w:r>
            <w:r>
              <w:rPr>
                <w:rFonts w:hint="eastAsia" w:eastAsia="楷体_GB2312"/>
                <w:i w:val="0"/>
                <w:iCs w:val="0"/>
                <w:color w:val="auto"/>
                <w:kern w:val="0"/>
                <w:sz w:val="28"/>
                <w:szCs w:val="28"/>
                <w:highlight w:val="none"/>
                <w:lang w:eastAsia="zh-CN"/>
              </w:rPr>
              <w:t>探索</w:t>
            </w:r>
            <w:r>
              <w:rPr>
                <w:rFonts w:hint="eastAsia" w:eastAsia="楷体_GB2312"/>
                <w:color w:val="auto"/>
                <w:kern w:val="0"/>
                <w:sz w:val="28"/>
                <w:szCs w:val="28"/>
                <w:highlight w:val="none"/>
              </w:rPr>
              <w:t>保税物流中心（B型）</w:t>
            </w:r>
            <w:r>
              <w:rPr>
                <w:rFonts w:hint="eastAsia" w:eastAsia="楷体_GB2312"/>
                <w:color w:val="auto"/>
                <w:kern w:val="0"/>
                <w:sz w:val="28"/>
                <w:szCs w:val="28"/>
                <w:highlight w:val="none"/>
                <w:lang w:eastAsia="zh-CN"/>
              </w:rPr>
              <w:t>建设</w:t>
            </w:r>
          </w:p>
          <w:p w14:paraId="0A868EDA">
            <w:pPr>
              <w:adjustRightInd w:val="0"/>
              <w:snapToGrid w:val="0"/>
              <w:spacing w:after="0" w:line="380" w:lineRule="exact"/>
              <w:ind w:left="640" w:leftChars="200"/>
              <w:rPr>
                <w:i w:val="0"/>
                <w:iCs w:val="0"/>
                <w:color w:val="auto"/>
                <w:kern w:val="0"/>
                <w:sz w:val="28"/>
                <w:szCs w:val="28"/>
                <w:highlight w:val="none"/>
              </w:rPr>
            </w:pPr>
            <w:r>
              <w:rPr>
                <w:rFonts w:hint="eastAsia" w:ascii="Times New Roman" w:hAnsi="Times New Roman"/>
                <w:color w:val="auto"/>
                <w:kern w:val="0"/>
                <w:sz w:val="28"/>
                <w:szCs w:val="28"/>
                <w:highlight w:val="none"/>
                <w:lang w:eastAsia="zh-CN"/>
              </w:rPr>
              <w:t>探索</w:t>
            </w:r>
            <w:r>
              <w:rPr>
                <w:rFonts w:hint="eastAsia"/>
                <w:color w:val="auto"/>
                <w:kern w:val="0"/>
                <w:sz w:val="28"/>
                <w:szCs w:val="28"/>
                <w:highlight w:val="none"/>
              </w:rPr>
              <w:t>推</w:t>
            </w:r>
            <w:r>
              <w:rPr>
                <w:rFonts w:hint="eastAsia" w:ascii="Times New Roman" w:hAnsi="Times New Roman"/>
                <w:color w:val="auto"/>
                <w:kern w:val="0"/>
                <w:sz w:val="28"/>
                <w:szCs w:val="28"/>
                <w:highlight w:val="none"/>
                <w:lang w:eastAsia="zh-CN"/>
              </w:rPr>
              <w:t>进</w:t>
            </w:r>
            <w:r>
              <w:rPr>
                <w:rFonts w:hint="eastAsia"/>
                <w:color w:val="auto"/>
                <w:kern w:val="0"/>
                <w:sz w:val="28"/>
                <w:szCs w:val="28"/>
                <w:highlight w:val="none"/>
                <w:lang w:eastAsia="zh-CN"/>
              </w:rPr>
              <w:t>朝阳区</w:t>
            </w:r>
            <w:r>
              <w:rPr>
                <w:color w:val="auto"/>
                <w:kern w:val="0"/>
                <w:sz w:val="28"/>
                <w:szCs w:val="28"/>
                <w:highlight w:val="none"/>
              </w:rPr>
              <w:t>保税物流中心（B型）</w:t>
            </w:r>
            <w:r>
              <w:rPr>
                <w:rFonts w:hint="eastAsia" w:ascii="Times New Roman" w:hAnsi="Times New Roman"/>
                <w:color w:val="auto"/>
                <w:kern w:val="0"/>
                <w:sz w:val="28"/>
                <w:szCs w:val="28"/>
                <w:highlight w:val="none"/>
                <w:lang w:eastAsia="zh-CN"/>
              </w:rPr>
              <w:t>建设</w:t>
            </w:r>
            <w:r>
              <w:rPr>
                <w:rFonts w:hint="eastAsia"/>
                <w:color w:val="auto"/>
                <w:kern w:val="0"/>
                <w:sz w:val="28"/>
                <w:szCs w:val="28"/>
                <w:highlight w:val="none"/>
              </w:rPr>
              <w:t>，</w:t>
            </w:r>
            <w:r>
              <w:rPr>
                <w:rFonts w:hint="eastAsia"/>
                <w:color w:val="auto"/>
                <w:kern w:val="0"/>
                <w:sz w:val="28"/>
                <w:szCs w:val="28"/>
                <w:highlight w:val="none"/>
                <w:lang w:eastAsia="zh-CN"/>
              </w:rPr>
              <w:t>设立后发挥“保税”平台优势，完善我区产业生态，</w:t>
            </w:r>
            <w:r>
              <w:rPr>
                <w:rFonts w:hint="eastAsia"/>
                <w:color w:val="auto"/>
                <w:kern w:val="0"/>
                <w:sz w:val="28"/>
                <w:szCs w:val="28"/>
                <w:highlight w:val="none"/>
              </w:rPr>
              <w:t>依规开展保税仓储、</w:t>
            </w:r>
            <w:r>
              <w:rPr>
                <w:rFonts w:hint="eastAsia"/>
                <w:color w:val="auto"/>
                <w:kern w:val="0"/>
                <w:sz w:val="28"/>
                <w:szCs w:val="28"/>
                <w:highlight w:val="none"/>
                <w:lang w:eastAsia="zh-CN"/>
              </w:rPr>
              <w:t>保税展示交易等业务</w:t>
            </w:r>
            <w:r>
              <w:rPr>
                <w:rFonts w:hint="eastAsia"/>
                <w:color w:val="auto"/>
                <w:kern w:val="0"/>
                <w:sz w:val="28"/>
                <w:szCs w:val="28"/>
                <w:highlight w:val="none"/>
              </w:rPr>
              <w:t>，创新政策制度设计，积极探索发展“保税+</w:t>
            </w:r>
            <w:r>
              <w:rPr>
                <w:rFonts w:hint="eastAsia"/>
                <w:color w:val="auto"/>
                <w:kern w:val="0"/>
                <w:sz w:val="28"/>
                <w:szCs w:val="28"/>
                <w:highlight w:val="none"/>
                <w:lang w:eastAsia="zh-CN"/>
              </w:rPr>
              <w:t>跨境电商”“保税+展示”“</w:t>
            </w:r>
            <w:r>
              <w:rPr>
                <w:rFonts w:hint="eastAsia" w:ascii="Times New Roman" w:hAnsi="Times New Roman"/>
                <w:color w:val="auto"/>
                <w:kern w:val="0"/>
                <w:sz w:val="28"/>
                <w:szCs w:val="28"/>
                <w:highlight w:val="none"/>
                <w:lang w:val="en-US" w:eastAsia="zh-CN"/>
              </w:rPr>
              <w:t>保税+专业服务”等</w:t>
            </w:r>
            <w:r>
              <w:rPr>
                <w:rFonts w:hint="eastAsia" w:ascii="Times New Roman" w:hAnsi="Times New Roman" w:cs="Times New Roman"/>
                <w:color w:val="auto"/>
                <w:kern w:val="0"/>
                <w:sz w:val="28"/>
                <w:szCs w:val="28"/>
                <w:highlight w:val="none"/>
                <w:lang w:val="en-US" w:eastAsia="zh-CN"/>
              </w:rPr>
              <w:t>保税</w:t>
            </w:r>
            <w:r>
              <w:rPr>
                <w:rFonts w:hint="eastAsia" w:ascii="Times New Roman" w:hAnsi="Times New Roman"/>
                <w:color w:val="auto"/>
                <w:kern w:val="0"/>
                <w:sz w:val="28"/>
                <w:szCs w:val="28"/>
                <w:highlight w:val="none"/>
                <w:lang w:val="en-US" w:eastAsia="zh-CN"/>
              </w:rPr>
              <w:t>特色业务</w:t>
            </w:r>
            <w:r>
              <w:rPr>
                <w:rFonts w:hint="eastAsia"/>
                <w:color w:val="auto"/>
                <w:kern w:val="0"/>
                <w:sz w:val="28"/>
                <w:szCs w:val="28"/>
                <w:highlight w:val="none"/>
              </w:rPr>
              <w:t>。</w:t>
            </w:r>
          </w:p>
        </w:tc>
      </w:tr>
      <w:tr w14:paraId="68D9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0B0D38D5">
            <w:pPr>
              <w:adjustRightInd w:val="0"/>
              <w:snapToGrid w:val="0"/>
              <w:spacing w:after="0" w:line="380" w:lineRule="exact"/>
              <w:jc w:val="left"/>
              <w:rPr>
                <w:rFonts w:eastAsia="楷体_GB2312"/>
                <w:strike/>
                <w:dstrike w:val="0"/>
                <w:color w:val="auto"/>
                <w:kern w:val="0"/>
                <w:sz w:val="28"/>
                <w:szCs w:val="28"/>
                <w:highlight w:val="none"/>
              </w:rPr>
            </w:pPr>
            <w:r>
              <w:rPr>
                <w:rFonts w:hint="eastAsia" w:eastAsia="楷体_GB2312"/>
                <w:color w:val="auto"/>
                <w:kern w:val="0"/>
                <w:sz w:val="28"/>
                <w:szCs w:val="28"/>
                <w:highlight w:val="none"/>
              </w:rPr>
              <w:t>02</w:t>
            </w:r>
            <w:r>
              <w:rPr>
                <w:rFonts w:hint="eastAsia" w:eastAsia="楷体_GB2312"/>
                <w:color w:val="auto"/>
                <w:kern w:val="0"/>
                <w:sz w:val="28"/>
                <w:szCs w:val="28"/>
                <w:highlight w:val="none"/>
                <w:lang w:eastAsia="zh-CN"/>
              </w:rPr>
              <w:t>“</w:t>
            </w:r>
            <w:r>
              <w:rPr>
                <w:rFonts w:hint="eastAsia" w:eastAsia="楷体_GB2312"/>
                <w:strike w:val="0"/>
                <w:dstrike w:val="0"/>
                <w:color w:val="auto"/>
                <w:kern w:val="0"/>
                <w:sz w:val="28"/>
                <w:szCs w:val="28"/>
                <w:highlight w:val="none"/>
              </w:rPr>
              <w:t>AEO+经核准出口商</w:t>
            </w:r>
            <w:r>
              <w:rPr>
                <w:rFonts w:hint="eastAsia" w:eastAsia="楷体_GB2312"/>
                <w:strike w:val="0"/>
                <w:dstrike w:val="0"/>
                <w:color w:val="auto"/>
                <w:kern w:val="0"/>
                <w:sz w:val="28"/>
                <w:szCs w:val="28"/>
                <w:highlight w:val="none"/>
                <w:lang w:eastAsia="zh-CN"/>
              </w:rPr>
              <w:t>”</w:t>
            </w:r>
            <w:r>
              <w:rPr>
                <w:rFonts w:hint="eastAsia" w:eastAsia="楷体_GB2312"/>
                <w:strike w:val="0"/>
                <w:dstrike w:val="0"/>
                <w:color w:val="auto"/>
                <w:kern w:val="0"/>
                <w:sz w:val="28"/>
                <w:szCs w:val="28"/>
                <w:highlight w:val="none"/>
              </w:rPr>
              <w:t>培育</w:t>
            </w:r>
          </w:p>
          <w:p w14:paraId="20CA6479">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color w:val="auto"/>
                <w:kern w:val="0"/>
                <w:sz w:val="28"/>
                <w:szCs w:val="28"/>
                <w:highlight w:val="none"/>
              </w:rPr>
              <w:t>聚焦新质生产力产业集群、总部、专精特新、中间品等企业，开展条线化、模块化培育</w:t>
            </w:r>
            <w:r>
              <w:rPr>
                <w:rFonts w:hint="eastAsia"/>
                <w:color w:val="auto"/>
                <w:kern w:val="0"/>
                <w:sz w:val="28"/>
                <w:szCs w:val="28"/>
                <w:highlight w:val="none"/>
              </w:rPr>
              <w:t>，利用</w:t>
            </w:r>
            <w:r>
              <w:rPr>
                <w:rFonts w:hint="eastAsia"/>
                <w:color w:val="auto"/>
                <w:kern w:val="0"/>
                <w:sz w:val="28"/>
                <w:szCs w:val="28"/>
                <w:highlight w:val="none"/>
                <w:lang w:eastAsia="zh-CN"/>
              </w:rPr>
              <w:t>“</w:t>
            </w:r>
            <w:r>
              <w:rPr>
                <w:rFonts w:hint="eastAsia"/>
                <w:color w:val="auto"/>
                <w:kern w:val="0"/>
                <w:sz w:val="28"/>
                <w:szCs w:val="28"/>
                <w:highlight w:val="none"/>
              </w:rPr>
              <w:t>关地企信用分级管理应用平台</w:t>
            </w:r>
            <w:r>
              <w:rPr>
                <w:rFonts w:hint="eastAsia"/>
                <w:color w:val="auto"/>
                <w:kern w:val="0"/>
                <w:sz w:val="28"/>
                <w:szCs w:val="28"/>
                <w:highlight w:val="none"/>
                <w:lang w:eastAsia="zh-CN"/>
              </w:rPr>
              <w:t>”</w:t>
            </w:r>
            <w:r>
              <w:rPr>
                <w:rFonts w:hint="eastAsia"/>
                <w:color w:val="auto"/>
                <w:kern w:val="0"/>
                <w:sz w:val="28"/>
                <w:szCs w:val="28"/>
                <w:highlight w:val="none"/>
              </w:rPr>
              <w:t>，提升信用培育效能，支持更多符合条件的企业纳入海关AEO高级认证。研究开展</w:t>
            </w:r>
            <w:r>
              <w:rPr>
                <w:rFonts w:hint="eastAsia"/>
                <w:color w:val="auto"/>
                <w:kern w:val="0"/>
                <w:sz w:val="28"/>
                <w:szCs w:val="28"/>
                <w:highlight w:val="none"/>
                <w:lang w:eastAsia="zh-CN"/>
              </w:rPr>
              <w:t>“</w:t>
            </w:r>
            <w:r>
              <w:rPr>
                <w:rFonts w:hint="eastAsia"/>
                <w:color w:val="auto"/>
                <w:kern w:val="0"/>
                <w:sz w:val="28"/>
                <w:szCs w:val="28"/>
                <w:highlight w:val="none"/>
              </w:rPr>
              <w:t>AEO+经核准出口商</w:t>
            </w:r>
            <w:r>
              <w:rPr>
                <w:rFonts w:hint="eastAsia"/>
                <w:color w:val="auto"/>
                <w:kern w:val="0"/>
                <w:sz w:val="28"/>
                <w:szCs w:val="28"/>
                <w:highlight w:val="none"/>
                <w:lang w:eastAsia="zh-CN"/>
              </w:rPr>
              <w:t>”</w:t>
            </w:r>
            <w:r>
              <w:rPr>
                <w:rFonts w:hint="eastAsia"/>
                <w:color w:val="auto"/>
                <w:kern w:val="0"/>
                <w:sz w:val="28"/>
                <w:szCs w:val="28"/>
                <w:highlight w:val="none"/>
              </w:rPr>
              <w:t>同步培育工作，将原产地规则及管理制度等嵌入AEO认证培育同步辅导，加大企业享惠程度，进一步增强综合竞争力。</w:t>
            </w:r>
          </w:p>
        </w:tc>
      </w:tr>
      <w:tr w14:paraId="3544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4EA88FC">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03</w:t>
            </w:r>
            <w:r>
              <w:rPr>
                <w:rFonts w:hint="eastAsia" w:eastAsia="楷体_GB2312"/>
                <w:color w:val="auto"/>
                <w:kern w:val="0"/>
                <w:sz w:val="28"/>
                <w:szCs w:val="28"/>
                <w:highlight w:val="none"/>
                <w:lang w:eastAsia="zh-CN"/>
              </w:rPr>
              <w:t>“</w:t>
            </w:r>
            <w:r>
              <w:rPr>
                <w:rFonts w:hint="eastAsia" w:eastAsia="楷体_GB2312"/>
                <w:color w:val="auto"/>
                <w:kern w:val="0"/>
                <w:sz w:val="28"/>
                <w:szCs w:val="28"/>
                <w:highlight w:val="none"/>
              </w:rPr>
              <w:t>信贸链</w:t>
            </w:r>
            <w:r>
              <w:rPr>
                <w:rFonts w:hint="eastAsia" w:eastAsia="楷体_GB2312"/>
                <w:color w:val="auto"/>
                <w:kern w:val="0"/>
                <w:sz w:val="28"/>
                <w:szCs w:val="28"/>
                <w:highlight w:val="none"/>
                <w:lang w:eastAsia="zh-CN"/>
              </w:rPr>
              <w:t>”</w:t>
            </w:r>
            <w:r>
              <w:rPr>
                <w:rFonts w:hint="eastAsia" w:eastAsia="楷体_GB2312"/>
                <w:color w:val="auto"/>
                <w:kern w:val="0"/>
                <w:sz w:val="28"/>
                <w:szCs w:val="28"/>
                <w:highlight w:val="none"/>
              </w:rPr>
              <w:t>示范应用</w:t>
            </w:r>
          </w:p>
          <w:p w14:paraId="4BA6376A">
            <w:pPr>
              <w:adjustRightInd w:val="0"/>
              <w:snapToGrid w:val="0"/>
              <w:spacing w:after="0" w:line="380" w:lineRule="exact"/>
              <w:ind w:left="640" w:leftChars="200"/>
              <w:rPr>
                <w:rFonts w:eastAsia="楷体_GB2312"/>
                <w:color w:val="auto"/>
                <w:kern w:val="0"/>
                <w:sz w:val="28"/>
                <w:szCs w:val="28"/>
                <w:highlight w:val="none"/>
              </w:rPr>
            </w:pPr>
            <w:r>
              <w:rPr>
                <w:rFonts w:hint="eastAsia"/>
                <w:color w:val="auto"/>
                <w:kern w:val="0"/>
                <w:sz w:val="28"/>
                <w:szCs w:val="28"/>
                <w:highlight w:val="none"/>
              </w:rPr>
              <w:t>支持贸易参与各方基于</w:t>
            </w:r>
            <w:r>
              <w:rPr>
                <w:rFonts w:hint="eastAsia"/>
                <w:color w:val="auto"/>
                <w:kern w:val="0"/>
                <w:sz w:val="28"/>
                <w:szCs w:val="28"/>
                <w:highlight w:val="none"/>
                <w:lang w:eastAsia="zh-CN"/>
              </w:rPr>
              <w:t>“</w:t>
            </w:r>
            <w:r>
              <w:rPr>
                <w:rFonts w:hint="eastAsia"/>
                <w:color w:val="auto"/>
                <w:kern w:val="0"/>
                <w:sz w:val="28"/>
                <w:szCs w:val="28"/>
                <w:highlight w:val="none"/>
              </w:rPr>
              <w:t>信贸链协议</w:t>
            </w:r>
            <w:r>
              <w:rPr>
                <w:rFonts w:hint="eastAsia"/>
                <w:color w:val="auto"/>
                <w:kern w:val="0"/>
                <w:sz w:val="28"/>
                <w:szCs w:val="28"/>
                <w:highlight w:val="none"/>
                <w:lang w:eastAsia="zh-CN"/>
              </w:rPr>
              <w:t>”</w:t>
            </w:r>
            <w:r>
              <w:rPr>
                <w:rFonts w:hint="eastAsia"/>
                <w:color w:val="auto"/>
                <w:kern w:val="0"/>
                <w:sz w:val="28"/>
                <w:szCs w:val="28"/>
                <w:highlight w:val="none"/>
              </w:rPr>
              <w:t>，共建开放、中立、包容、安全互联的分布式全球可信贸易协作网络，推动不同业务协作场景实现数字化、标准化和智能化。</w:t>
            </w:r>
          </w:p>
        </w:tc>
      </w:tr>
    </w:tbl>
    <w:p w14:paraId="49DC57B4">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79" w:name="_Toc25963"/>
      <w:r>
        <w:rPr>
          <w:rFonts w:hint="eastAsia" w:ascii="Times New Roman" w:hAnsi="Times New Roman" w:eastAsia="黑体" w:cs="黑体"/>
          <w:b w:val="0"/>
          <w:bCs w:val="0"/>
          <w:color w:val="auto"/>
          <w:sz w:val="32"/>
          <w:szCs w:val="32"/>
          <w:highlight w:val="none"/>
          <w:lang w:val="en-US" w:eastAsia="zh-CN"/>
        </w:rPr>
        <w:t>第二节 增强</w:t>
      </w:r>
      <w:r>
        <w:rPr>
          <w:rFonts w:hint="eastAsia" w:ascii="Times New Roman" w:hAnsi="Times New Roman" w:eastAsia="黑体" w:cs="黑体"/>
          <w:b w:val="0"/>
          <w:bCs w:val="0"/>
          <w:color w:val="auto"/>
          <w:sz w:val="32"/>
          <w:szCs w:val="32"/>
          <w:highlight w:val="none"/>
        </w:rPr>
        <w:t>服务贸易</w:t>
      </w:r>
      <w:r>
        <w:rPr>
          <w:rFonts w:hint="eastAsia" w:ascii="Times New Roman" w:hAnsi="Times New Roman" w:eastAsia="黑体" w:cs="黑体"/>
          <w:b w:val="0"/>
          <w:bCs w:val="0"/>
          <w:color w:val="auto"/>
          <w:sz w:val="32"/>
          <w:szCs w:val="32"/>
          <w:highlight w:val="none"/>
          <w:lang w:val="en-US" w:eastAsia="zh-CN"/>
        </w:rPr>
        <w:t>发展活力</w:t>
      </w:r>
      <w:bookmarkEnd w:id="79"/>
    </w:p>
    <w:p w14:paraId="0DA53751">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color w:val="auto"/>
          <w:szCs w:val="32"/>
          <w:highlight w:val="none"/>
        </w:rPr>
      </w:pPr>
      <w:r>
        <w:rPr>
          <w:rFonts w:hint="eastAsia" w:ascii="Times New Roman" w:hAnsi="Times New Roman"/>
          <w:b/>
          <w:bCs/>
          <w:color w:val="auto"/>
          <w:szCs w:val="32"/>
          <w:highlight w:val="none"/>
          <w:lang w:val="en-US" w:eastAsia="zh-CN"/>
        </w:rPr>
        <w:t>丰富服务贸易场景业态。</w:t>
      </w:r>
      <w:r>
        <w:rPr>
          <w:rFonts w:hint="eastAsia"/>
          <w:b w:val="0"/>
          <w:bCs w:val="0"/>
          <w:color w:val="auto"/>
          <w:szCs w:val="32"/>
          <w:highlight w:val="none"/>
          <w:lang w:val="en-US" w:eastAsia="zh-CN"/>
        </w:rPr>
        <w:t>提升旅行服务国际竞争力，</w:t>
      </w:r>
      <w:r>
        <w:rPr>
          <w:rFonts w:hint="eastAsia" w:ascii="Times New Roman"/>
          <w:color w:val="auto"/>
          <w:szCs w:val="32"/>
          <w:highlight w:val="none"/>
          <w:lang w:val="en-US" w:eastAsia="zh-CN"/>
        </w:rPr>
        <w:t>扩大入境消费，聚焦旅游购物、商务会展、观赛观演、健康消费、教育培训等各类入境消费场景，进一步丰富</w:t>
      </w:r>
      <w:r>
        <w:rPr>
          <w:rFonts w:hint="eastAsia"/>
          <w:color w:val="auto"/>
          <w:szCs w:val="32"/>
          <w:highlight w:val="none"/>
          <w:lang w:val="en-US" w:eastAsia="zh-CN"/>
        </w:rPr>
        <w:t>优质服务</w:t>
      </w:r>
      <w:r>
        <w:rPr>
          <w:rFonts w:hint="eastAsia" w:ascii="Times New Roman" w:hAnsi="Times New Roman"/>
          <w:color w:val="auto"/>
          <w:szCs w:val="32"/>
          <w:highlight w:val="none"/>
          <w:lang w:val="en-US" w:eastAsia="zh-CN"/>
        </w:rPr>
        <w:t>。全力打造首都“入境消费第一区”，推动离境退税商店增量扩容，拓展“即买即退”商圈布局。</w:t>
      </w:r>
      <w:r>
        <w:rPr>
          <w:rFonts w:hint="eastAsia"/>
          <w:b w:val="0"/>
          <w:bCs w:val="0"/>
          <w:color w:val="auto"/>
          <w:szCs w:val="32"/>
          <w:highlight w:val="none"/>
          <w:lang w:val="en-US" w:eastAsia="zh-CN"/>
        </w:rPr>
        <w:t>推动文化服务高质量发展，</w:t>
      </w:r>
      <w:r>
        <w:rPr>
          <w:rFonts w:hint="eastAsia" w:ascii="Times New Roman"/>
          <w:color w:val="auto"/>
          <w:szCs w:val="32"/>
          <w:highlight w:val="none"/>
          <w:lang w:val="en-US" w:eastAsia="zh-CN"/>
        </w:rPr>
        <w:t>积极拓展“赛事+旅游”“演艺+文旅”等融合消费新场景</w:t>
      </w:r>
      <w:r>
        <w:rPr>
          <w:rFonts w:hint="eastAsia" w:ascii="Times New Roman" w:hAnsi="Times New Roman"/>
          <w:color w:val="auto"/>
          <w:szCs w:val="32"/>
          <w:highlight w:val="none"/>
          <w:lang w:val="en-US" w:eastAsia="zh-CN"/>
        </w:rPr>
        <w:t>、新模式、新服务</w:t>
      </w:r>
      <w:r>
        <w:rPr>
          <w:rFonts w:hint="eastAsia" w:ascii="Times New Roman"/>
          <w:color w:val="auto"/>
          <w:szCs w:val="32"/>
          <w:highlight w:val="none"/>
          <w:lang w:val="en-US" w:eastAsia="zh-CN"/>
        </w:rPr>
        <w:t>，更好满足多元入境消费需求。</w:t>
      </w:r>
      <w:r>
        <w:rPr>
          <w:rFonts w:hint="eastAsia" w:ascii="Times New Roman" w:hAnsi="Times New Roman"/>
          <w:color w:val="auto"/>
          <w:szCs w:val="32"/>
          <w:highlight w:val="none"/>
          <w:lang w:val="en-US" w:eastAsia="zh-CN"/>
        </w:rPr>
        <w:t>提升医疗</w:t>
      </w:r>
      <w:r>
        <w:rPr>
          <w:rFonts w:hint="eastAsia"/>
          <w:color w:val="auto"/>
          <w:szCs w:val="32"/>
          <w:highlight w:val="none"/>
          <w:lang w:val="en-US" w:eastAsia="zh-CN"/>
        </w:rPr>
        <w:t>服务</w:t>
      </w:r>
      <w:r>
        <w:rPr>
          <w:rFonts w:hint="eastAsia" w:ascii="Times New Roman" w:hAnsi="Times New Roman"/>
          <w:color w:val="auto"/>
          <w:szCs w:val="32"/>
          <w:highlight w:val="none"/>
          <w:lang w:val="en-US" w:eastAsia="zh-CN"/>
        </w:rPr>
        <w:t>国际化水平</w:t>
      </w:r>
      <w:r>
        <w:rPr>
          <w:rFonts w:hint="eastAsia"/>
          <w:color w:val="auto"/>
          <w:szCs w:val="32"/>
          <w:highlight w:val="none"/>
          <w:lang w:val="en-US" w:eastAsia="zh-CN"/>
        </w:rPr>
        <w:t>，在市级部门安排下，探索推动区内医疗机构与境外医疗机构开展合作，为境内外患者提供远程医疗服务，</w:t>
      </w:r>
      <w:r>
        <w:rPr>
          <w:rFonts w:hint="eastAsia"/>
          <w:color w:val="auto"/>
          <w:kern w:val="0"/>
          <w:sz w:val="32"/>
          <w:szCs w:val="32"/>
          <w:highlight w:val="none"/>
          <w:lang w:val="en-US" w:eastAsia="zh-CN"/>
        </w:rPr>
        <w:t>为国际友人更好地提供中医药、中西医结合健康服务</w:t>
      </w:r>
      <w:r>
        <w:rPr>
          <w:rFonts w:hint="eastAsia"/>
          <w:color w:val="auto"/>
          <w:szCs w:val="32"/>
          <w:highlight w:val="none"/>
          <w:shd w:val="clear" w:color="auto" w:fill="auto"/>
          <w:lang w:val="en-US" w:eastAsia="zh-CN"/>
        </w:rPr>
        <w:t>。</w:t>
      </w:r>
      <w:r>
        <w:rPr>
          <w:rFonts w:hint="eastAsia" w:ascii="Times New Roman"/>
          <w:color w:val="auto"/>
          <w:szCs w:val="32"/>
          <w:highlight w:val="none"/>
        </w:rPr>
        <w:t>推动服务外包转型升级，</w:t>
      </w:r>
      <w:r>
        <w:rPr>
          <w:rFonts w:hint="eastAsia" w:ascii="Times New Roman"/>
          <w:color w:val="auto"/>
          <w:sz w:val="32"/>
          <w:szCs w:val="32"/>
          <w:highlight w:val="none"/>
        </w:rPr>
        <w:t>推动信息技术外包（ITO）、商业流程外包（BPO）和知识流程外包（KPO）等服务外包数字化转型</w:t>
      </w:r>
      <w:r>
        <w:rPr>
          <w:rFonts w:hint="eastAsia"/>
          <w:color w:val="auto"/>
          <w:sz w:val="32"/>
          <w:szCs w:val="32"/>
          <w:highlight w:val="none"/>
          <w:lang w:eastAsia="zh-CN"/>
        </w:rPr>
        <w:t>，</w:t>
      </w:r>
      <w:r>
        <w:rPr>
          <w:rFonts w:hint="eastAsia"/>
          <w:b w:val="0"/>
          <w:bCs w:val="0"/>
          <w:color w:val="auto"/>
          <w:szCs w:val="32"/>
          <w:highlight w:val="none"/>
        </w:rPr>
        <w:t>促进设计、信息咨询、技术服务、研发服务等领域外包业务发展</w:t>
      </w:r>
      <w:r>
        <w:rPr>
          <w:rFonts w:hint="eastAsia"/>
          <w:b w:val="0"/>
          <w:bCs w:val="0"/>
          <w:color w:val="auto"/>
          <w:szCs w:val="32"/>
          <w:highlight w:val="none"/>
          <w:lang w:eastAsia="zh-CN"/>
        </w:rPr>
        <w:t>，</w:t>
      </w:r>
      <w:r>
        <w:rPr>
          <w:rFonts w:hint="eastAsia" w:ascii="Times New Roman"/>
          <w:color w:val="auto"/>
          <w:szCs w:val="32"/>
          <w:highlight w:val="none"/>
        </w:rPr>
        <w:t>培育一批具有国际竞争力的服务外包企业。</w:t>
      </w:r>
    </w:p>
    <w:p w14:paraId="78FAC678">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rFonts w:hint="eastAsia" w:ascii="Times New Roman" w:eastAsia="仿宋_GB2312"/>
          <w:color w:val="auto"/>
          <w:highlight w:val="none"/>
          <w:lang w:eastAsia="zh-CN"/>
        </w:rPr>
      </w:pPr>
      <w:r>
        <w:rPr>
          <w:rFonts w:hint="eastAsia"/>
          <w:b/>
          <w:bCs/>
          <w:color w:val="auto"/>
          <w:szCs w:val="32"/>
          <w:highlight w:val="none"/>
          <w:lang w:val="en-US" w:eastAsia="zh-CN"/>
        </w:rPr>
        <w:t>拓宽服务贸易发展空间。</w:t>
      </w:r>
      <w:r>
        <w:rPr>
          <w:rFonts w:hint="eastAsia" w:ascii="Times New Roman" w:hAnsi="Times New Roman"/>
          <w:color w:val="auto"/>
          <w:highlight w:val="none"/>
          <w:lang w:val="en-US" w:eastAsia="zh-CN"/>
        </w:rPr>
        <w:t>进一步扩大文化、人力资源、地理信息、中医药等特色优势服务出口，深入推进国家文化出口基地</w:t>
      </w:r>
      <w:r>
        <w:rPr>
          <w:rFonts w:hint="eastAsia"/>
          <w:color w:val="auto"/>
          <w:highlight w:val="none"/>
          <w:lang w:val="en-US" w:eastAsia="zh-CN"/>
        </w:rPr>
        <w:t>、人力资源特色服务出口基地、地理信息特色服务出口基地、中医药国际服务试点基地等</w:t>
      </w:r>
      <w:r>
        <w:rPr>
          <w:rFonts w:hint="eastAsia" w:ascii="Times New Roman" w:hAnsi="Times New Roman"/>
          <w:color w:val="auto"/>
          <w:highlight w:val="none"/>
          <w:lang w:val="en-US" w:eastAsia="zh-CN"/>
        </w:rPr>
        <w:t>服务贸易平台建设，培育服务贸易出口重点企业和重点项目。</w:t>
      </w:r>
      <w:r>
        <w:rPr>
          <w:rFonts w:hint="eastAsia" w:ascii="Times New Roman" w:hAnsi="Times New Roman"/>
          <w:color w:val="auto"/>
          <w:highlight w:val="none"/>
        </w:rPr>
        <w:t>依托中国国际服务贸易交易会、全球数字经济大会等</w:t>
      </w:r>
      <w:r>
        <w:rPr>
          <w:rFonts w:hint="eastAsia" w:ascii="Times New Roman" w:hAnsi="Times New Roman"/>
          <w:color w:val="auto"/>
          <w:highlight w:val="none"/>
          <w:lang w:val="en-US" w:eastAsia="zh-CN"/>
        </w:rPr>
        <w:t>重要展会</w:t>
      </w:r>
      <w:r>
        <w:rPr>
          <w:rFonts w:hint="eastAsia" w:ascii="Times New Roman" w:hAnsi="Times New Roman"/>
          <w:color w:val="auto"/>
          <w:highlight w:val="none"/>
        </w:rPr>
        <w:t>平台，拓宽服务贸易国际合作渠道</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支持服务贸易企业境外办展参展</w:t>
      </w:r>
      <w:r>
        <w:rPr>
          <w:rFonts w:hint="eastAsia" w:ascii="Times New Roman" w:hAnsi="Times New Roman"/>
          <w:color w:val="auto"/>
          <w:highlight w:val="none"/>
        </w:rPr>
        <w:t>。</w:t>
      </w:r>
      <w:r>
        <w:rPr>
          <w:rFonts w:hint="eastAsia" w:ascii="Times New Roman"/>
          <w:color w:val="auto"/>
          <w:highlight w:val="none"/>
          <w:lang w:val="en-US" w:eastAsia="zh-CN"/>
        </w:rPr>
        <w:t>支持金融、咨询、设计、认证认可、法律、调解、仲裁、会计等专业服务机构提升国际化服务能力。</w:t>
      </w:r>
    </w:p>
    <w:p w14:paraId="4D4A5FDB">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rFonts w:hint="eastAsia" w:ascii="Times New Roman"/>
          <w:color w:val="auto"/>
          <w:highlight w:val="none"/>
        </w:rPr>
      </w:pPr>
      <w:r>
        <w:rPr>
          <w:rFonts w:hint="eastAsia"/>
          <w:b/>
          <w:bCs/>
          <w:color w:val="auto"/>
          <w:szCs w:val="32"/>
          <w:highlight w:val="none"/>
          <w:lang w:val="en-US" w:eastAsia="zh-CN"/>
        </w:rPr>
        <w:t>优化服务贸易发展环境。</w:t>
      </w:r>
      <w:r>
        <w:rPr>
          <w:rFonts w:hint="eastAsia" w:ascii="Times New Roman" w:hAnsi="Times New Roman"/>
          <w:b w:val="0"/>
          <w:bCs w:val="0"/>
          <w:color w:val="auto"/>
          <w:szCs w:val="32"/>
          <w:highlight w:val="none"/>
          <w:lang w:val="en-US" w:eastAsia="zh-CN"/>
        </w:rPr>
        <w:t>全面</w:t>
      </w:r>
      <w:r>
        <w:rPr>
          <w:rFonts w:hint="eastAsia"/>
          <w:color w:val="auto"/>
          <w:szCs w:val="32"/>
          <w:highlight w:val="none"/>
        </w:rPr>
        <w:t>落实跨境服务贸易负面清单，</w:t>
      </w:r>
      <w:r>
        <w:rPr>
          <w:rFonts w:hint="eastAsia" w:ascii="Times New Roman" w:hAnsi="Times New Roman"/>
          <w:color w:val="auto"/>
          <w:szCs w:val="32"/>
          <w:highlight w:val="none"/>
        </w:rPr>
        <w:t>负面清单之外的跨境服务贸易按照境内外服务及服务提供者待遇一致原则实施管理</w:t>
      </w:r>
      <w:r>
        <w:rPr>
          <w:rFonts w:hint="eastAsia"/>
          <w:color w:val="auto"/>
          <w:szCs w:val="32"/>
          <w:highlight w:val="none"/>
        </w:rPr>
        <w:t>。</w:t>
      </w:r>
      <w:r>
        <w:rPr>
          <w:rFonts w:hint="eastAsia"/>
          <w:color w:val="auto"/>
          <w:szCs w:val="32"/>
          <w:highlight w:val="none"/>
          <w:lang w:eastAsia="zh-CN"/>
        </w:rPr>
        <w:t>提升服务贸易标准化水平，</w:t>
      </w:r>
      <w:r>
        <w:rPr>
          <w:rFonts w:hint="eastAsia"/>
          <w:color w:val="auto"/>
          <w:szCs w:val="32"/>
          <w:highlight w:val="none"/>
        </w:rPr>
        <w:t>高质量实施</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lang w:val="en-US" w:eastAsia="zh-CN"/>
        </w:rPr>
        <w:t>区域全面经济伙伴关系协定</w:t>
      </w:r>
      <w:r>
        <w:rPr>
          <w:rFonts w:hint="eastAsia" w:ascii="Times New Roman" w:hAnsi="Times New Roman"/>
          <w:color w:val="auto"/>
          <w:szCs w:val="32"/>
          <w:highlight w:val="none"/>
          <w:lang w:eastAsia="zh-CN"/>
        </w:rPr>
        <w:t>》（</w:t>
      </w:r>
      <w:r>
        <w:rPr>
          <w:rFonts w:hint="eastAsia"/>
          <w:color w:val="auto"/>
          <w:szCs w:val="32"/>
          <w:highlight w:val="none"/>
        </w:rPr>
        <w:t>RCEP</w:t>
      </w:r>
      <w:r>
        <w:rPr>
          <w:rFonts w:hint="eastAsia" w:ascii="Times New Roman" w:hAnsi="Times New Roman"/>
          <w:color w:val="auto"/>
          <w:szCs w:val="32"/>
          <w:highlight w:val="none"/>
          <w:lang w:eastAsia="zh-CN"/>
        </w:rPr>
        <w:t>）</w:t>
      </w:r>
      <w:r>
        <w:rPr>
          <w:rFonts w:hint="eastAsia"/>
          <w:color w:val="auto"/>
          <w:szCs w:val="32"/>
          <w:highlight w:val="none"/>
        </w:rPr>
        <w:t>等区域经贸安排中的服务贸易开放承诺和相关规则。</w:t>
      </w:r>
      <w:r>
        <w:rPr>
          <w:rFonts w:hint="eastAsia" w:ascii="Times New Roman" w:hAnsi="Times New Roman"/>
          <w:color w:val="auto"/>
          <w:szCs w:val="32"/>
          <w:highlight w:val="none"/>
        </w:rPr>
        <w:t>参照世界贸易组织《服务贸易国内规制参考文件》，规范服务领域许可、资质和技术标准，提高监管政策透明度，降低跨境服务贸易成本。</w:t>
      </w:r>
      <w:r>
        <w:rPr>
          <w:rFonts w:hint="eastAsia" w:ascii="Times New Roman" w:hAnsi="Times New Roman"/>
          <w:color w:val="auto"/>
          <w:highlight w:val="none"/>
          <w:lang w:val="en-US" w:eastAsia="zh-CN"/>
        </w:rPr>
        <w:t>积极运用数字技术、人工智能等创新服务供给，提升服务业国际竞争力。</w:t>
      </w:r>
      <w:r>
        <w:rPr>
          <w:rFonts w:hint="eastAsia" w:ascii="Times New Roman"/>
          <w:color w:val="auto"/>
          <w:highlight w:val="none"/>
          <w:lang w:val="en-US" w:eastAsia="zh-CN"/>
        </w:rPr>
        <w:t>完善技术贸易管理和促进体系，拓展国际技术合作网络，促进知识产权国际化运营，对研发中心技术跨境转移给予便利化安排。</w:t>
      </w:r>
    </w:p>
    <w:tbl>
      <w:tblPr>
        <w:tblStyle w:val="29"/>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4" w:type="dxa"/>
          <w:left w:w="128" w:type="dxa"/>
          <w:bottom w:w="64" w:type="dxa"/>
          <w:right w:w="128" w:type="dxa"/>
        </w:tblCellMar>
      </w:tblPr>
      <w:tblGrid>
        <w:gridCol w:w="8516"/>
      </w:tblGrid>
      <w:tr w14:paraId="7752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vAlign w:val="center"/>
          </w:tcPr>
          <w:p w14:paraId="48A59EDC">
            <w:pPr>
              <w:pStyle w:val="36"/>
              <w:spacing w:before="218" w:beforeLines="50" w:after="218" w:afterLines="50" w:line="240" w:lineRule="auto"/>
              <w:rPr>
                <w:rFonts w:hint="default" w:eastAsiaTheme="minorEastAsia"/>
                <w:color w:val="auto"/>
                <w:highlight w:val="none"/>
              </w:rPr>
            </w:pPr>
            <w:bookmarkStart w:id="80" w:name="_Toc19528"/>
            <w:bookmarkStart w:id="81" w:name="_Toc30771"/>
            <w:r>
              <w:rPr>
                <w:color w:val="auto"/>
                <w:highlight w:val="none"/>
              </w:rPr>
              <w:t>专栏</w:t>
            </w:r>
            <w:r>
              <w:rPr>
                <w:rFonts w:hint="eastAsia"/>
                <w:color w:val="auto"/>
                <w:highlight w:val="none"/>
                <w:lang w:val="en-US" w:eastAsia="zh-CN"/>
              </w:rPr>
              <w:t>7</w:t>
            </w:r>
            <w:r>
              <w:rPr>
                <w:color w:val="auto"/>
                <w:highlight w:val="none"/>
              </w:rPr>
              <w:t xml:space="preserve"> 服务贸易</w:t>
            </w:r>
            <w:r>
              <w:rPr>
                <w:rFonts w:hint="eastAsia" w:ascii="Times New Roman" w:hAnsi="Times New Roman"/>
                <w:color w:val="auto"/>
                <w:highlight w:val="none"/>
                <w:lang w:val="en-US" w:eastAsia="zh-CN"/>
              </w:rPr>
              <w:t>基地</w:t>
            </w:r>
            <w:r>
              <w:rPr>
                <w:rFonts w:hint="eastAsia"/>
                <w:color w:val="auto"/>
                <w:highlight w:val="none"/>
                <w:lang w:val="en-US" w:eastAsia="zh-CN"/>
              </w:rPr>
              <w:t>提质升级</w:t>
            </w:r>
            <w:r>
              <w:rPr>
                <w:color w:val="auto"/>
                <w:highlight w:val="none"/>
              </w:rPr>
              <w:t>行动</w:t>
            </w:r>
            <w:bookmarkEnd w:id="80"/>
            <w:bookmarkEnd w:id="81"/>
          </w:p>
        </w:tc>
      </w:tr>
      <w:tr w14:paraId="1D77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90" w:hRule="atLeast"/>
          <w:jc w:val="center"/>
        </w:trPr>
        <w:tc>
          <w:tcPr>
            <w:tcW w:w="8516" w:type="dxa"/>
          </w:tcPr>
          <w:p w14:paraId="0635AFCA">
            <w:pPr>
              <w:widowControl/>
              <w:adjustRightInd/>
              <w:snapToGrid/>
              <w:spacing w:after="0" w:line="240" w:lineRule="auto"/>
              <w:jc w:val="left"/>
              <w:rPr>
                <w:rFonts w:ascii="Times New Roman" w:hAnsi="Times New Roman" w:eastAsia="楷体_GB2312"/>
                <w:color w:val="auto"/>
                <w:kern w:val="0"/>
                <w:sz w:val="28"/>
                <w:szCs w:val="28"/>
                <w:highlight w:val="none"/>
              </w:rPr>
            </w:pPr>
            <w:r>
              <w:rPr>
                <w:rFonts w:hint="eastAsia" w:ascii="Times New Roman" w:hAnsi="Times New Roman" w:eastAsia="楷体_GB2312"/>
                <w:color w:val="auto"/>
                <w:kern w:val="0"/>
                <w:sz w:val="28"/>
                <w:szCs w:val="28"/>
                <w:highlight w:val="none"/>
              </w:rPr>
              <w:t>0</w:t>
            </w:r>
            <w:r>
              <w:rPr>
                <w:rFonts w:hint="eastAsia" w:eastAsia="楷体_GB2312"/>
                <w:color w:val="auto"/>
                <w:kern w:val="0"/>
                <w:sz w:val="28"/>
                <w:szCs w:val="28"/>
                <w:highlight w:val="none"/>
                <w:lang w:val="en-US" w:eastAsia="zh-CN"/>
              </w:rPr>
              <w:t>1</w:t>
            </w:r>
            <w:r>
              <w:rPr>
                <w:rFonts w:hint="eastAsia" w:ascii="Times New Roman" w:hAnsi="Times New Roman" w:eastAsia="楷体_GB2312"/>
                <w:color w:val="auto"/>
                <w:kern w:val="0"/>
                <w:sz w:val="28"/>
                <w:szCs w:val="28"/>
                <w:highlight w:val="none"/>
              </w:rPr>
              <w:t>国家文化出口基地升级</w:t>
            </w:r>
          </w:p>
          <w:p w14:paraId="41D61CB1">
            <w:pPr>
              <w:widowControl/>
              <w:adjustRightInd w:val="0"/>
              <w:snapToGrid w:val="0"/>
              <w:spacing w:after="0" w:line="380" w:lineRule="exact"/>
              <w:ind w:left="640" w:leftChars="200"/>
              <w:jc w:val="left"/>
              <w:rPr>
                <w:color w:val="auto"/>
                <w:kern w:val="0"/>
                <w:sz w:val="28"/>
                <w:szCs w:val="28"/>
                <w:highlight w:val="none"/>
              </w:rPr>
            </w:pPr>
            <w:r>
              <w:rPr>
                <w:rFonts w:hint="eastAsia" w:ascii="Times New Roman" w:hAnsi="Times New Roman"/>
                <w:color w:val="auto"/>
                <w:kern w:val="0"/>
                <w:sz w:val="28"/>
                <w:szCs w:val="28"/>
                <w:highlight w:val="none"/>
              </w:rPr>
              <w:t>充分发挥国际资源丰富、品牌文化企业聚集优势，积极推进文化领域相关政策开放创新。积极推动网络游戏、网络文学、影视、微短剧、潮玩文创等优秀作品走出国门，</w:t>
            </w:r>
            <w:r>
              <w:rPr>
                <w:rFonts w:hint="eastAsia" w:ascii="Times New Roman" w:hAnsi="Times New Roman" w:eastAsia="仿宋_GB2312" w:cs="Times New Roman"/>
                <w:color w:val="auto"/>
                <w:kern w:val="0"/>
                <w:sz w:val="28"/>
                <w:szCs w:val="28"/>
                <w:highlight w:val="none"/>
                <w:lang w:val="en-US" w:eastAsia="zh-CN" w:bidi="ar"/>
              </w:rPr>
              <w:t>加快培育一批具有国际竞争力的“文化出海”领军企业和项目，形成一批标志性出口品牌</w:t>
            </w:r>
            <w:r>
              <w:rPr>
                <w:rFonts w:hint="eastAsia" w:ascii="Times New Roman" w:hAnsi="Times New Roman" w:cs="Times New Roman"/>
                <w:color w:val="auto"/>
                <w:kern w:val="0"/>
                <w:sz w:val="28"/>
                <w:szCs w:val="28"/>
                <w:highlight w:val="none"/>
                <w:lang w:val="en-US" w:eastAsia="zh-CN" w:bidi="ar"/>
              </w:rPr>
              <w:t>，</w:t>
            </w:r>
            <w:r>
              <w:rPr>
                <w:rFonts w:hint="eastAsia" w:ascii="Times New Roman" w:hAnsi="Times New Roman"/>
                <w:color w:val="auto"/>
                <w:kern w:val="0"/>
                <w:sz w:val="28"/>
                <w:szCs w:val="28"/>
                <w:highlight w:val="none"/>
              </w:rPr>
              <w:t>不断巩固壮大文化贸易规模</w:t>
            </w:r>
            <w:r>
              <w:rPr>
                <w:rFonts w:hint="eastAsia" w:ascii="Times New Roman" w:hAnsi="Times New Roman" w:eastAsia="仿宋_GB2312" w:cs="Times New Roman"/>
                <w:color w:val="auto"/>
                <w:kern w:val="0"/>
                <w:sz w:val="28"/>
                <w:szCs w:val="28"/>
                <w:highlight w:val="none"/>
                <w:lang w:val="en-US" w:eastAsia="zh-CN" w:bidi="ar"/>
              </w:rPr>
              <w:t>。探索打造文化出海专业服务平台，为企业提供政策咨询、合规指导、渠道对接等全链条服务。</w:t>
            </w:r>
          </w:p>
        </w:tc>
      </w:tr>
      <w:tr w14:paraId="0DB6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21040BF1">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02人力资源特色服务出口基地升级</w:t>
            </w:r>
          </w:p>
          <w:p w14:paraId="4EB9AE78">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围绕金融、海外用工等方面探索研究具有</w:t>
            </w:r>
            <w:r>
              <w:rPr>
                <w:rFonts w:hint="eastAsia"/>
                <w:color w:val="auto"/>
                <w:kern w:val="0"/>
                <w:sz w:val="28"/>
                <w:szCs w:val="28"/>
                <w:highlight w:val="none"/>
                <w:lang w:eastAsia="zh-CN"/>
              </w:rPr>
              <w:t>“</w:t>
            </w:r>
            <w:r>
              <w:rPr>
                <w:rFonts w:hint="eastAsia"/>
                <w:color w:val="auto"/>
                <w:kern w:val="0"/>
                <w:sz w:val="28"/>
                <w:szCs w:val="28"/>
                <w:highlight w:val="none"/>
              </w:rPr>
              <w:t>朝阳特色</w:t>
            </w:r>
            <w:r>
              <w:rPr>
                <w:rFonts w:hint="eastAsia"/>
                <w:color w:val="auto"/>
                <w:kern w:val="0"/>
                <w:sz w:val="28"/>
                <w:szCs w:val="28"/>
                <w:highlight w:val="none"/>
                <w:lang w:eastAsia="zh-CN"/>
              </w:rPr>
              <w:t>”</w:t>
            </w:r>
            <w:r>
              <w:rPr>
                <w:rFonts w:hint="eastAsia"/>
                <w:color w:val="auto"/>
                <w:kern w:val="0"/>
                <w:sz w:val="28"/>
                <w:szCs w:val="28"/>
                <w:highlight w:val="none"/>
              </w:rPr>
              <w:t>的一揽子服务举措，推动人力资源服务行业全环节服务政策集成创新。研究建设出口基地标准化制度体系，重点对贸易统计口径、出海业态服务等开展研究，形成实质成果并逐步推广。</w:t>
            </w:r>
          </w:p>
        </w:tc>
      </w:tr>
      <w:tr w14:paraId="17B5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7EDED242">
            <w:pPr>
              <w:adjustRightInd w:val="0"/>
              <w:snapToGrid w:val="0"/>
              <w:spacing w:after="0" w:line="380" w:lineRule="exact"/>
              <w:jc w:val="left"/>
              <w:rPr>
                <w:rFonts w:hint="eastAsia"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olor w:val="auto"/>
                <w:kern w:val="0"/>
                <w:sz w:val="28"/>
                <w:szCs w:val="28"/>
                <w:highlight w:val="none"/>
              </w:rPr>
              <w:t>0</w:t>
            </w:r>
            <w:r>
              <w:rPr>
                <w:rFonts w:hint="eastAsia" w:ascii="Times New Roman" w:hAnsi="Times New Roman" w:eastAsia="楷体_GB2312"/>
                <w:color w:val="auto"/>
                <w:kern w:val="0"/>
                <w:sz w:val="28"/>
                <w:szCs w:val="28"/>
                <w:highlight w:val="none"/>
                <w:lang w:val="en-US" w:eastAsia="zh-CN"/>
              </w:rPr>
              <w:t>3</w:t>
            </w:r>
            <w:r>
              <w:rPr>
                <w:rFonts w:hint="eastAsia" w:ascii="Times New Roman" w:hAnsi="Times New Roman" w:eastAsia="楷体_GB2312" w:cs="Times New Roman"/>
                <w:color w:val="auto"/>
                <w:kern w:val="0"/>
                <w:sz w:val="28"/>
                <w:szCs w:val="28"/>
                <w:highlight w:val="none"/>
                <w:lang w:val="en-US" w:eastAsia="zh-CN"/>
              </w:rPr>
              <w:t>地理信息特色服务出口基地</w:t>
            </w:r>
            <w:r>
              <w:rPr>
                <w:rFonts w:hint="eastAsia" w:eastAsia="楷体_GB2312" w:cs="Times New Roman"/>
                <w:color w:val="auto"/>
                <w:kern w:val="0"/>
                <w:sz w:val="28"/>
                <w:szCs w:val="28"/>
                <w:highlight w:val="none"/>
                <w:lang w:val="en-US" w:eastAsia="zh-CN"/>
              </w:rPr>
              <w:t>升级</w:t>
            </w:r>
          </w:p>
          <w:p w14:paraId="6DBCD8AA">
            <w:pPr>
              <w:adjustRightInd w:val="0"/>
              <w:snapToGrid w:val="0"/>
              <w:spacing w:after="0" w:line="380" w:lineRule="exact"/>
              <w:ind w:left="640" w:leftChars="200"/>
              <w:rPr>
                <w:rFonts w:hint="eastAsia" w:eastAsia="仿宋_GB2312"/>
                <w:color w:val="auto"/>
                <w:kern w:val="0"/>
                <w:sz w:val="28"/>
                <w:szCs w:val="28"/>
                <w:highlight w:val="none"/>
              </w:rPr>
            </w:pPr>
            <w:r>
              <w:rPr>
                <w:rFonts w:hint="eastAsia" w:cs="Times New Roman"/>
                <w:color w:val="auto"/>
                <w:kern w:val="0"/>
                <w:sz w:val="28"/>
                <w:szCs w:val="28"/>
                <w:highlight w:val="none"/>
                <w:lang w:val="en-US" w:eastAsia="zh-CN"/>
              </w:rPr>
              <w:t>支持空间地理信息重点企业聚焦主要海外市场打造标杆性示范项目</w:t>
            </w:r>
            <w:r>
              <w:rPr>
                <w:rFonts w:hint="eastAsia" w:ascii="Times New Roman" w:hAnsi="Times New Roman" w:eastAsia="仿宋_GB2312" w:cs="Times New Roman"/>
                <w:color w:val="auto"/>
                <w:kern w:val="0"/>
                <w:sz w:val="28"/>
                <w:szCs w:val="28"/>
                <w:highlight w:val="none"/>
                <w:lang w:val="en-US" w:eastAsia="zh-CN"/>
              </w:rPr>
              <w:t>，</w:t>
            </w:r>
            <w:r>
              <w:rPr>
                <w:rFonts w:hint="eastAsia" w:cs="Times New Roman"/>
                <w:color w:val="auto"/>
                <w:kern w:val="0"/>
                <w:sz w:val="28"/>
                <w:szCs w:val="28"/>
                <w:highlight w:val="none"/>
                <w:lang w:val="en-US" w:eastAsia="zh-CN"/>
              </w:rPr>
              <w:t>有序推动同共建“一带一路”国家开展合作，</w:t>
            </w:r>
            <w:r>
              <w:rPr>
                <w:rFonts w:hint="eastAsia" w:ascii="Times New Roman" w:hAnsi="Times New Roman" w:eastAsia="仿宋_GB2312" w:cs="Times New Roman"/>
                <w:color w:val="auto"/>
                <w:kern w:val="0"/>
                <w:sz w:val="28"/>
                <w:szCs w:val="28"/>
                <w:highlight w:val="none"/>
                <w:lang w:val="en-US" w:eastAsia="zh-CN"/>
              </w:rPr>
              <w:t>加强在地理信息数据应用、智慧场景开放、时空大数据赋能等方面的国际合作。</w:t>
            </w:r>
          </w:p>
        </w:tc>
      </w:tr>
      <w:tr w14:paraId="6017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37706535">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w:t>
            </w:r>
            <w:r>
              <w:rPr>
                <w:rFonts w:hint="eastAsia" w:eastAsia="楷体_GB2312"/>
                <w:color w:val="auto"/>
                <w:kern w:val="0"/>
                <w:sz w:val="28"/>
                <w:szCs w:val="28"/>
                <w:highlight w:val="none"/>
                <w:lang w:val="en-US" w:eastAsia="zh-CN"/>
              </w:rPr>
              <w:t>4中医药国际服务试点</w:t>
            </w:r>
            <w:r>
              <w:rPr>
                <w:rFonts w:hint="eastAsia" w:eastAsia="楷体_GB2312"/>
                <w:color w:val="auto"/>
                <w:kern w:val="0"/>
                <w:sz w:val="28"/>
                <w:szCs w:val="28"/>
                <w:highlight w:val="none"/>
              </w:rPr>
              <w:t>基地升级</w:t>
            </w:r>
          </w:p>
          <w:p w14:paraId="53F54969">
            <w:pPr>
              <w:adjustRightInd w:val="0"/>
              <w:snapToGrid w:val="0"/>
              <w:spacing w:after="0" w:line="380" w:lineRule="exact"/>
              <w:ind w:left="640" w:leftChars="200"/>
              <w:rPr>
                <w:rFonts w:hint="default" w:eastAsia="仿宋_GB2312"/>
                <w:color w:val="auto"/>
                <w:kern w:val="0"/>
                <w:sz w:val="28"/>
                <w:szCs w:val="28"/>
                <w:highlight w:val="none"/>
                <w:lang w:val="en-US" w:eastAsia="zh-CN"/>
              </w:rPr>
            </w:pPr>
            <w:r>
              <w:rPr>
                <w:rFonts w:hint="eastAsia"/>
                <w:color w:val="auto"/>
                <w:kern w:val="0"/>
                <w:sz w:val="28"/>
                <w:szCs w:val="28"/>
                <w:highlight w:val="none"/>
                <w:lang w:val="en-US" w:eastAsia="zh-CN"/>
              </w:rPr>
              <w:t>积极推动在使馆区开办涉外中医类医疗机构，进一步提升中医药国际化服务能力，依托中日友好医院、北京和睦家医院、三里屯第二社区卫生服务中心、朝阳区中医医院、麦子店社区卫生服务中心、北京市中西医结合国际会诊中心等中医药国际服务试点基地，为国际友人更好地提供中医药、中西医结合健康服务，全力打造区域中医药服务特色的国际化健康品牌，深化中医药文化国际传播和交流合作。</w:t>
            </w:r>
          </w:p>
        </w:tc>
      </w:tr>
    </w:tbl>
    <w:p w14:paraId="7D8130E0">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82" w:name="_Toc1118"/>
      <w:r>
        <w:rPr>
          <w:rFonts w:hint="eastAsia" w:ascii="Times New Roman" w:hAnsi="Times New Roman" w:eastAsia="黑体" w:cs="黑体"/>
          <w:b w:val="0"/>
          <w:bCs w:val="0"/>
          <w:color w:val="auto"/>
          <w:kern w:val="0"/>
          <w:sz w:val="32"/>
          <w:szCs w:val="32"/>
          <w:highlight w:val="none"/>
          <w:lang w:val="en-US" w:eastAsia="zh-CN" w:bidi="ar"/>
        </w:rPr>
        <w:t>第三节 支持数字贸易创新发展</w:t>
      </w:r>
      <w:bookmarkEnd w:id="82"/>
    </w:p>
    <w:p w14:paraId="65F7AB52">
      <w:pPr>
        <w:widowControl w:val="0"/>
        <w:numPr>
          <w:ilvl w:val="0"/>
          <w:numId w:val="0"/>
        </w:numPr>
        <w:adjustRightInd/>
        <w:snapToGrid/>
        <w:spacing w:line="560" w:lineRule="exact"/>
        <w:ind w:firstLine="643" w:firstLineChars="200"/>
        <w:rPr>
          <w:rFonts w:hint="default"/>
          <w:color w:val="auto"/>
          <w:szCs w:val="32"/>
          <w:highlight w:val="none"/>
          <w:lang w:val="en-US" w:bidi="ar"/>
        </w:rPr>
      </w:pPr>
      <w:r>
        <w:rPr>
          <w:rFonts w:hint="eastAsia"/>
          <w:b/>
          <w:bCs/>
          <w:color w:val="auto"/>
          <w:kern w:val="2"/>
          <w:sz w:val="32"/>
          <w:szCs w:val="24"/>
          <w:highlight w:val="none"/>
          <w:lang w:val="en-US" w:eastAsia="zh-CN" w:bidi="ar"/>
        </w:rPr>
        <w:t>夯实数字贸易发展基础。</w:t>
      </w:r>
      <w:r>
        <w:rPr>
          <w:rFonts w:hint="eastAsia"/>
          <w:b w:val="0"/>
          <w:bCs w:val="0"/>
          <w:color w:val="auto"/>
          <w:szCs w:val="32"/>
          <w:highlight w:val="none"/>
          <w:lang w:eastAsia="zh-CN" w:bidi="ar"/>
        </w:rPr>
        <w:t>超前布局数字基础设施，</w:t>
      </w:r>
      <w:r>
        <w:rPr>
          <w:rFonts w:hint="eastAsia"/>
          <w:color w:val="auto"/>
          <w:szCs w:val="32"/>
          <w:highlight w:val="none"/>
          <w:lang w:eastAsia="zh-CN" w:bidi="ar"/>
        </w:rPr>
        <w:t>根据市级安排，统筹推进一体化算力网络建设，持续推进公共智算中心建设。</w:t>
      </w:r>
      <w:r>
        <w:rPr>
          <w:rFonts w:hint="eastAsia"/>
          <w:color w:val="auto"/>
          <w:szCs w:val="32"/>
          <w:highlight w:val="none"/>
          <w:lang w:bidi="ar"/>
        </w:rPr>
        <w:t>建立健全数字资产评估、交易、国际版权贸易等机制和促进平台，培育拓展跨境数字交付渠道。</w:t>
      </w:r>
      <w:r>
        <w:rPr>
          <w:rFonts w:hint="eastAsia"/>
          <w:b w:val="0"/>
          <w:bCs w:val="0"/>
          <w:color w:val="auto"/>
          <w:kern w:val="2"/>
          <w:sz w:val="32"/>
          <w:szCs w:val="24"/>
          <w:highlight w:val="none"/>
          <w:lang w:val="en-US" w:eastAsia="zh-CN" w:bidi="ar"/>
        </w:rPr>
        <w:t>率先试行世界贸易组织《电子商务协定》，进一步提升贸易数字化水平，优化数字消费环境，加强数字贸易国际合作，总结可复制、可推广的数字贸易政策良好实践。</w:t>
      </w:r>
    </w:p>
    <w:p w14:paraId="15B015FC">
      <w:pPr>
        <w:widowControl w:val="0"/>
        <w:numPr>
          <w:ilvl w:val="0"/>
          <w:numId w:val="0"/>
        </w:numPr>
        <w:adjustRightInd/>
        <w:snapToGrid/>
        <w:spacing w:line="560" w:lineRule="exact"/>
        <w:ind w:firstLine="643" w:firstLineChars="200"/>
        <w:rPr>
          <w:rFonts w:hint="eastAsia"/>
          <w:color w:val="auto"/>
          <w:szCs w:val="32"/>
          <w:highlight w:val="none"/>
          <w:lang w:bidi="ar"/>
        </w:rPr>
      </w:pPr>
      <w:r>
        <w:rPr>
          <w:rFonts w:hint="eastAsia"/>
          <w:b/>
          <w:bCs/>
          <w:color w:val="auto"/>
          <w:kern w:val="2"/>
          <w:sz w:val="32"/>
          <w:szCs w:val="24"/>
          <w:highlight w:val="none"/>
          <w:lang w:val="en-US" w:eastAsia="zh-CN" w:bidi="ar"/>
        </w:rPr>
        <w:t>积极发展数字产品贸易。</w:t>
      </w:r>
      <w:r>
        <w:rPr>
          <w:rFonts w:hint="eastAsia" w:ascii="Times New Roman"/>
          <w:color w:val="auto"/>
          <w:highlight w:val="none"/>
        </w:rPr>
        <w:t>加强数字贸易企业集聚，加大</w:t>
      </w:r>
      <w:r>
        <w:rPr>
          <w:rFonts w:hint="eastAsia" w:ascii="Times New Roman"/>
          <w:color w:val="auto"/>
          <w:spacing w:val="-10"/>
          <w:highlight w:val="none"/>
        </w:rPr>
        <w:t>互联网</w:t>
      </w:r>
      <w:r>
        <w:rPr>
          <w:rFonts w:hint="eastAsia"/>
          <w:color w:val="auto"/>
          <w:spacing w:val="-10"/>
          <w:highlight w:val="none"/>
        </w:rPr>
        <w:t>3.0</w:t>
      </w:r>
      <w:r>
        <w:rPr>
          <w:rFonts w:hint="eastAsia" w:ascii="Times New Roman"/>
          <w:color w:val="auto"/>
          <w:spacing w:val="-10"/>
          <w:highlight w:val="none"/>
        </w:rPr>
        <w:t>、产业互联网、数字安全、数字医疗等企业培育和聚集力度，壮大数字贸易经营主体。</w:t>
      </w:r>
      <w:r>
        <w:rPr>
          <w:rFonts w:hint="eastAsia"/>
          <w:color w:val="auto"/>
          <w:szCs w:val="32"/>
          <w:highlight w:val="none"/>
        </w:rPr>
        <w:t>支持数字视听</w:t>
      </w:r>
      <w:r>
        <w:rPr>
          <w:rFonts w:hint="eastAsia"/>
          <w:color w:val="auto"/>
          <w:szCs w:val="32"/>
          <w:highlight w:val="none"/>
          <w:lang w:val="en-US" w:eastAsia="zh-CN"/>
        </w:rPr>
        <w:t>和</w:t>
      </w:r>
      <w:r>
        <w:rPr>
          <w:rFonts w:hint="eastAsia"/>
          <w:color w:val="auto"/>
          <w:szCs w:val="32"/>
          <w:highlight w:val="none"/>
        </w:rPr>
        <w:t>数字时尚产业发展，推动数字技术赋能数字内容生产，扩大数字</w:t>
      </w:r>
      <w:r>
        <w:rPr>
          <w:rFonts w:hint="eastAsia"/>
          <w:color w:val="auto"/>
          <w:szCs w:val="32"/>
          <w:highlight w:val="none"/>
          <w:lang w:bidi="ar"/>
        </w:rPr>
        <w:t>产品供给。</w:t>
      </w:r>
      <w:r>
        <w:rPr>
          <w:rFonts w:hint="eastAsia"/>
          <w:color w:val="auto"/>
          <w:kern w:val="2"/>
          <w:sz w:val="32"/>
          <w:szCs w:val="32"/>
          <w:highlight w:val="none"/>
          <w:lang w:bidi="ar"/>
        </w:rPr>
        <w:t>增强数字出版、数字影视、游戏动漫等领域国际竞争力，提高金融、商务等生产性服务业跨境数字化交付能力</w:t>
      </w:r>
      <w:r>
        <w:rPr>
          <w:rFonts w:hint="eastAsia"/>
          <w:color w:val="auto"/>
          <w:kern w:val="2"/>
          <w:sz w:val="32"/>
          <w:szCs w:val="32"/>
          <w:highlight w:val="none"/>
          <w:lang w:eastAsia="zh-CN" w:bidi="ar"/>
        </w:rPr>
        <w:t>。</w:t>
      </w:r>
    </w:p>
    <w:p w14:paraId="4392A721">
      <w:pPr>
        <w:widowControl w:val="0"/>
        <w:numPr>
          <w:ilvl w:val="-1"/>
          <w:numId w:val="0"/>
        </w:numPr>
        <w:adjustRightInd/>
        <w:snapToGrid/>
        <w:spacing w:line="560" w:lineRule="exact"/>
        <w:ind w:firstLine="643" w:firstLineChars="200"/>
        <w:rPr>
          <w:rFonts w:hint="eastAsia"/>
          <w:color w:val="auto"/>
          <w:szCs w:val="32"/>
          <w:highlight w:val="none"/>
          <w:lang w:bidi="ar"/>
        </w:rPr>
      </w:pPr>
      <w:r>
        <w:rPr>
          <w:rFonts w:hint="eastAsia"/>
          <w:b/>
          <w:bCs/>
          <w:color w:val="auto"/>
          <w:szCs w:val="32"/>
          <w:highlight w:val="none"/>
          <w:lang w:bidi="ar"/>
        </w:rPr>
        <w:t>壮大提升数字服务贸易</w:t>
      </w:r>
      <w:r>
        <w:rPr>
          <w:rFonts w:hint="eastAsia"/>
          <w:b/>
          <w:bCs/>
          <w:color w:val="auto"/>
          <w:szCs w:val="32"/>
          <w:highlight w:val="none"/>
          <w:lang w:eastAsia="zh-CN" w:bidi="ar"/>
        </w:rPr>
        <w:t>。</w:t>
      </w:r>
      <w:r>
        <w:rPr>
          <w:rFonts w:hint="eastAsia"/>
          <w:b w:val="0"/>
          <w:bCs w:val="0"/>
          <w:color w:val="auto"/>
          <w:szCs w:val="32"/>
          <w:highlight w:val="none"/>
          <w:lang w:eastAsia="zh-CN" w:bidi="ar"/>
        </w:rPr>
        <w:t>鼓励发展数字金融、在线教育、远程医疗、软件出海、来数加工等数字服务贸易。</w:t>
      </w:r>
      <w:r>
        <w:rPr>
          <w:rFonts w:hint="eastAsia"/>
          <w:color w:val="auto"/>
          <w:szCs w:val="32"/>
          <w:highlight w:val="none"/>
          <w:lang w:bidi="ar"/>
        </w:rPr>
        <w:t>提高管理咨询、</w:t>
      </w:r>
      <w:r>
        <w:rPr>
          <w:rFonts w:hint="eastAsia"/>
          <w:color w:val="auto"/>
          <w:kern w:val="2"/>
          <w:sz w:val="32"/>
          <w:szCs w:val="32"/>
          <w:highlight w:val="none"/>
          <w:lang w:bidi="ar"/>
        </w:rPr>
        <w:t>法律、会展、会计、审计、广告、知识产权等专业服务业态数字化交付能力和水平</w:t>
      </w:r>
      <w:r>
        <w:rPr>
          <w:rFonts w:hint="eastAsia"/>
          <w:color w:val="auto"/>
          <w:szCs w:val="32"/>
          <w:highlight w:val="none"/>
          <w:lang w:bidi="ar"/>
        </w:rPr>
        <w:t>。发展云外包、平台分包等新业态新模式，鼓励企业开发项目管理、在线协作、知识共享等数字化管理咨询服务平台，利用云办公模式开展跨国咨询服务。</w:t>
      </w:r>
    </w:p>
    <w:p w14:paraId="44281496">
      <w:pPr>
        <w:widowControl w:val="0"/>
        <w:numPr>
          <w:ilvl w:val="0"/>
          <w:numId w:val="0"/>
        </w:numPr>
        <w:adjustRightInd/>
        <w:snapToGrid/>
        <w:spacing w:line="560" w:lineRule="exact"/>
        <w:ind w:firstLine="643" w:firstLineChars="200"/>
        <w:rPr>
          <w:rFonts w:hint="eastAsia"/>
          <w:color w:val="auto"/>
          <w:szCs w:val="32"/>
          <w:highlight w:val="none"/>
          <w:lang w:bidi="ar"/>
        </w:rPr>
      </w:pPr>
      <w:r>
        <w:rPr>
          <w:rFonts w:hint="eastAsia"/>
          <w:b/>
          <w:bCs/>
          <w:color w:val="auto"/>
          <w:kern w:val="2"/>
          <w:sz w:val="32"/>
          <w:szCs w:val="32"/>
          <w:highlight w:val="none"/>
          <w:lang w:val="en-US" w:eastAsia="zh-CN" w:bidi="ar"/>
        </w:rPr>
        <w:t>支持发展数字技术贸易。</w:t>
      </w:r>
      <w:r>
        <w:rPr>
          <w:rFonts w:hint="eastAsia"/>
          <w:color w:val="auto"/>
          <w:kern w:val="2"/>
          <w:sz w:val="32"/>
          <w:szCs w:val="32"/>
          <w:highlight w:val="none"/>
          <w:lang w:bidi="ar"/>
        </w:rPr>
        <w:t>大力发展通信、云计算、人工智能等领域数字技术贸易，加快新型贸易数字化平台功能升级和应用推广</w:t>
      </w:r>
      <w:r>
        <w:rPr>
          <w:rFonts w:hint="eastAsia"/>
          <w:color w:val="auto"/>
          <w:kern w:val="2"/>
          <w:sz w:val="32"/>
          <w:szCs w:val="32"/>
          <w:highlight w:val="none"/>
          <w:lang w:eastAsia="zh-CN" w:bidi="ar"/>
        </w:rPr>
        <w:t>，</w:t>
      </w:r>
      <w:r>
        <w:rPr>
          <w:rFonts w:hint="eastAsia"/>
          <w:strike w:val="0"/>
          <w:color w:val="auto"/>
          <w:szCs w:val="32"/>
          <w:highlight w:val="none"/>
          <w:lang w:bidi="ar"/>
        </w:rPr>
        <w:t>鼓励企业加大研发投入，培育</w:t>
      </w:r>
      <w:r>
        <w:rPr>
          <w:rFonts w:hint="eastAsia"/>
          <w:strike w:val="0"/>
          <w:color w:val="auto"/>
          <w:szCs w:val="32"/>
          <w:highlight w:val="none"/>
          <w:lang w:eastAsia="zh-CN" w:bidi="ar"/>
        </w:rPr>
        <w:t>一批</w:t>
      </w:r>
      <w:r>
        <w:rPr>
          <w:rFonts w:hint="eastAsia"/>
          <w:strike w:val="0"/>
          <w:color w:val="auto"/>
          <w:szCs w:val="32"/>
          <w:highlight w:val="none"/>
          <w:lang w:bidi="ar"/>
        </w:rPr>
        <w:t>技术先进型服务企业</w:t>
      </w:r>
      <w:r>
        <w:rPr>
          <w:rFonts w:hint="eastAsia"/>
          <w:strike w:val="0"/>
          <w:color w:val="auto"/>
          <w:szCs w:val="32"/>
          <w:highlight w:val="none"/>
          <w:lang w:eastAsia="zh-CN" w:bidi="ar"/>
        </w:rPr>
        <w:t>。</w:t>
      </w:r>
      <w:r>
        <w:rPr>
          <w:rFonts w:hint="eastAsia"/>
          <w:color w:val="auto"/>
          <w:kern w:val="2"/>
          <w:szCs w:val="32"/>
          <w:highlight w:val="none"/>
          <w:lang w:bidi="ar"/>
        </w:rPr>
        <w:t>集聚具有全球</w:t>
      </w:r>
      <w:r>
        <w:rPr>
          <w:rFonts w:hint="eastAsia"/>
          <w:color w:val="auto"/>
          <w:kern w:val="0"/>
          <w:szCs w:val="32"/>
          <w:highlight w:val="none"/>
          <w:lang w:bidi="ar"/>
        </w:rPr>
        <w:t>服务能力的公共云服务商，助力企业数字技术方案跨境交付</w:t>
      </w:r>
      <w:r>
        <w:rPr>
          <w:rFonts w:hint="eastAsia"/>
          <w:color w:val="auto"/>
          <w:kern w:val="0"/>
          <w:sz w:val="28"/>
          <w:szCs w:val="28"/>
          <w:highlight w:val="none"/>
          <w:lang w:bidi="ar"/>
        </w:rPr>
        <w:t>。</w:t>
      </w:r>
    </w:p>
    <w:tbl>
      <w:tblPr>
        <w:tblStyle w:val="29"/>
        <w:tblpPr w:leftFromText="180" w:rightFromText="180" w:vertAnchor="text" w:horzAnchor="page" w:tblpX="1867" w:tblpY="441"/>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5BED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1E26BB48">
            <w:pPr>
              <w:pStyle w:val="36"/>
              <w:spacing w:before="218" w:beforeLines="50" w:after="218" w:afterLines="50" w:line="240" w:lineRule="auto"/>
              <w:rPr>
                <w:rFonts w:hint="default" w:eastAsiaTheme="minorEastAsia"/>
                <w:color w:val="auto"/>
                <w:highlight w:val="none"/>
              </w:rPr>
            </w:pPr>
            <w:bookmarkStart w:id="83" w:name="_Toc2440"/>
            <w:bookmarkStart w:id="84" w:name="_Toc26153"/>
            <w:bookmarkStart w:id="85" w:name="_Toc29947"/>
            <w:r>
              <w:rPr>
                <w:color w:val="auto"/>
                <w:highlight w:val="none"/>
              </w:rPr>
              <w:t>专栏</w:t>
            </w:r>
            <w:r>
              <w:rPr>
                <w:rFonts w:hint="eastAsia"/>
                <w:color w:val="auto"/>
                <w:highlight w:val="none"/>
                <w:lang w:val="en-US" w:eastAsia="zh-CN"/>
              </w:rPr>
              <w:t>8</w:t>
            </w:r>
            <w:r>
              <w:rPr>
                <w:color w:val="auto"/>
                <w:highlight w:val="none"/>
              </w:rPr>
              <w:t xml:space="preserve"> 数字贸易</w:t>
            </w:r>
            <w:r>
              <w:rPr>
                <w:rFonts w:hint="eastAsia"/>
                <w:color w:val="auto"/>
                <w:highlight w:val="none"/>
                <w:lang w:val="en-US" w:eastAsia="zh-CN"/>
              </w:rPr>
              <w:t>产业集群培育</w:t>
            </w:r>
            <w:r>
              <w:rPr>
                <w:color w:val="auto"/>
                <w:highlight w:val="none"/>
              </w:rPr>
              <w:t>行动</w:t>
            </w:r>
            <w:bookmarkEnd w:id="83"/>
            <w:bookmarkEnd w:id="84"/>
            <w:bookmarkEnd w:id="85"/>
          </w:p>
        </w:tc>
      </w:tr>
      <w:tr w14:paraId="203A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2E0CA62">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数字产品贸易拓展计划</w:t>
            </w:r>
          </w:p>
          <w:p w14:paraId="680D27AE">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打造文旅、商业、金融、教育等领域的示范应用场景，扩大创意设计、影视动漫、新媒体及软件游戏、数字出版等数字内容供给，支持有条件的头部影视企业打造</w:t>
            </w:r>
            <w:r>
              <w:rPr>
                <w:rFonts w:hint="eastAsia"/>
                <w:color w:val="auto"/>
                <w:kern w:val="0"/>
                <w:sz w:val="28"/>
                <w:szCs w:val="28"/>
                <w:highlight w:val="none"/>
                <w:lang w:eastAsia="zh-CN"/>
              </w:rPr>
              <w:t>“</w:t>
            </w:r>
            <w:r>
              <w:rPr>
                <w:rFonts w:hint="eastAsia"/>
                <w:color w:val="auto"/>
                <w:kern w:val="0"/>
                <w:sz w:val="28"/>
                <w:szCs w:val="28"/>
                <w:highlight w:val="none"/>
              </w:rPr>
              <w:t>国际影视版权交易平台</w:t>
            </w:r>
            <w:r>
              <w:rPr>
                <w:rFonts w:hint="eastAsia"/>
                <w:color w:val="auto"/>
                <w:kern w:val="0"/>
                <w:sz w:val="28"/>
                <w:szCs w:val="28"/>
                <w:highlight w:val="none"/>
                <w:lang w:eastAsia="zh-CN"/>
              </w:rPr>
              <w:t>”</w:t>
            </w:r>
            <w:r>
              <w:rPr>
                <w:rFonts w:hint="eastAsia"/>
                <w:color w:val="auto"/>
                <w:kern w:val="0"/>
                <w:sz w:val="28"/>
                <w:szCs w:val="28"/>
                <w:highlight w:val="none"/>
              </w:rPr>
              <w:t>，拓展跨境数字交付渠道，提升国际竞争力。</w:t>
            </w:r>
          </w:p>
        </w:tc>
      </w:tr>
      <w:tr w14:paraId="03C8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6578B6B">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02数字服务贸易提升计划</w:t>
            </w:r>
          </w:p>
          <w:p w14:paraId="40BF603C">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推动数字金融、在线教育、远程医疗以及管理咨询、知识产权、广告、会计等数字化交付的专业服务等数字服务贸易创新发展，提升品牌和标准影响力。推动ITO、BPO、KPO等服务外包加快数字化转型。</w:t>
            </w:r>
          </w:p>
        </w:tc>
      </w:tr>
      <w:tr w14:paraId="2B9F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416FE11">
            <w:pPr>
              <w:adjustRightInd w:val="0"/>
              <w:snapToGrid w:val="0"/>
              <w:spacing w:after="0" w:line="380" w:lineRule="exact"/>
              <w:jc w:val="left"/>
              <w:rPr>
                <w:rFonts w:eastAsia="楷体_GB2312"/>
                <w:strike w:val="0"/>
                <w:color w:val="auto"/>
                <w:kern w:val="0"/>
                <w:sz w:val="28"/>
                <w:szCs w:val="28"/>
                <w:highlight w:val="none"/>
              </w:rPr>
            </w:pPr>
            <w:r>
              <w:rPr>
                <w:rFonts w:hint="eastAsia" w:eastAsia="楷体_GB2312"/>
                <w:strike w:val="0"/>
                <w:color w:val="auto"/>
                <w:kern w:val="0"/>
                <w:sz w:val="28"/>
                <w:szCs w:val="28"/>
                <w:highlight w:val="none"/>
              </w:rPr>
              <w:t>03</w:t>
            </w:r>
            <w:r>
              <w:rPr>
                <w:rFonts w:hint="eastAsia" w:eastAsia="楷体_GB2312"/>
                <w:strike w:val="0"/>
                <w:dstrike w:val="0"/>
                <w:color w:val="auto"/>
                <w:kern w:val="0"/>
                <w:sz w:val="28"/>
                <w:szCs w:val="28"/>
                <w:highlight w:val="none"/>
              </w:rPr>
              <w:t>数字技术贸易创新计划</w:t>
            </w:r>
          </w:p>
          <w:p w14:paraId="59D55759">
            <w:pPr>
              <w:adjustRightInd w:val="0"/>
              <w:snapToGrid w:val="0"/>
              <w:spacing w:after="0" w:line="380" w:lineRule="exact"/>
              <w:ind w:left="640" w:leftChars="200"/>
              <w:rPr>
                <w:rFonts w:ascii="Times New Roman" w:hAnsi="Times New Roman" w:eastAsia="楷体_GB2312" w:cs="楷体_GB2312"/>
                <w:strike/>
                <w:color w:val="auto"/>
                <w:kern w:val="0"/>
                <w:sz w:val="28"/>
                <w:szCs w:val="28"/>
                <w:highlight w:val="none"/>
              </w:rPr>
            </w:pPr>
            <w:r>
              <w:rPr>
                <w:strike w:val="0"/>
                <w:color w:val="auto"/>
                <w:kern w:val="0"/>
                <w:sz w:val="28"/>
                <w:szCs w:val="28"/>
                <w:highlight w:val="none"/>
              </w:rPr>
              <w:t>加强关键核心技术创新</w:t>
            </w:r>
            <w:r>
              <w:rPr>
                <w:rFonts w:hint="eastAsia"/>
                <w:strike w:val="0"/>
                <w:color w:val="auto"/>
                <w:kern w:val="0"/>
                <w:sz w:val="28"/>
                <w:szCs w:val="28"/>
                <w:highlight w:val="none"/>
              </w:rPr>
              <w:t>和示范应用</w:t>
            </w:r>
            <w:r>
              <w:rPr>
                <w:strike w:val="0"/>
                <w:color w:val="auto"/>
                <w:kern w:val="0"/>
                <w:sz w:val="28"/>
                <w:szCs w:val="28"/>
                <w:highlight w:val="none"/>
              </w:rPr>
              <w:t>，</w:t>
            </w:r>
            <w:r>
              <w:rPr>
                <w:rFonts w:hint="eastAsia"/>
                <w:strike w:val="0"/>
                <w:color w:val="auto"/>
                <w:kern w:val="0"/>
                <w:sz w:val="28"/>
                <w:szCs w:val="28"/>
                <w:highlight w:val="none"/>
                <w:lang w:eastAsia="zh-CN"/>
              </w:rPr>
              <w:t>大力发展通信、云计算、人工智能</w:t>
            </w:r>
            <w:r>
              <w:rPr>
                <w:strike w:val="0"/>
                <w:color w:val="auto"/>
                <w:kern w:val="0"/>
                <w:sz w:val="28"/>
                <w:szCs w:val="28"/>
                <w:highlight w:val="none"/>
              </w:rPr>
              <w:t>等</w:t>
            </w:r>
            <w:r>
              <w:rPr>
                <w:rFonts w:hint="eastAsia"/>
                <w:strike w:val="0"/>
                <w:color w:val="auto"/>
                <w:kern w:val="0"/>
                <w:sz w:val="28"/>
                <w:szCs w:val="28"/>
                <w:highlight w:val="none"/>
              </w:rPr>
              <w:t>优势</w:t>
            </w:r>
            <w:r>
              <w:rPr>
                <w:strike w:val="0"/>
                <w:color w:val="auto"/>
                <w:kern w:val="0"/>
                <w:sz w:val="28"/>
                <w:szCs w:val="28"/>
                <w:highlight w:val="none"/>
              </w:rPr>
              <w:t>领域</w:t>
            </w:r>
            <w:r>
              <w:rPr>
                <w:rFonts w:hint="eastAsia"/>
                <w:strike w:val="0"/>
                <w:color w:val="auto"/>
                <w:kern w:val="0"/>
                <w:sz w:val="28"/>
                <w:szCs w:val="28"/>
                <w:highlight w:val="none"/>
              </w:rPr>
              <w:t>数字技术贸易</w:t>
            </w:r>
            <w:r>
              <w:rPr>
                <w:strike w:val="0"/>
                <w:color w:val="auto"/>
                <w:kern w:val="0"/>
                <w:sz w:val="28"/>
                <w:szCs w:val="28"/>
                <w:highlight w:val="none"/>
              </w:rPr>
              <w:t>。</w:t>
            </w:r>
            <w:r>
              <w:rPr>
                <w:rFonts w:hint="eastAsia"/>
                <w:strike w:val="0"/>
                <w:color w:val="auto"/>
                <w:kern w:val="0"/>
                <w:sz w:val="28"/>
                <w:szCs w:val="28"/>
                <w:highlight w:val="none"/>
                <w:lang w:eastAsia="zh-CN"/>
              </w:rPr>
              <w:t>加强数字技术贸易行业领军企业培育，鼓励企业加大研发投入，培育重点技术先进型服务企业，推动数字技术贸易发展。</w:t>
            </w:r>
          </w:p>
        </w:tc>
      </w:tr>
    </w:tbl>
    <w:p w14:paraId="223B6E69">
      <w:pPr>
        <w:widowControl/>
        <w:jc w:val="left"/>
        <w:rPr>
          <w:rFonts w:eastAsia="黑体"/>
          <w:color w:val="auto"/>
          <w:szCs w:val="32"/>
          <w:highlight w:val="none"/>
        </w:rPr>
      </w:pPr>
      <w:r>
        <w:rPr>
          <w:rFonts w:hint="eastAsia" w:eastAsia="黑体"/>
          <w:color w:val="auto"/>
          <w:szCs w:val="32"/>
          <w:highlight w:val="none"/>
        </w:rPr>
        <w:br w:type="page"/>
      </w:r>
    </w:p>
    <w:p w14:paraId="76424FFF">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default" w:ascii="Times New Roman" w:hAnsi="Times New Roman" w:eastAsia="方正小标宋简体" w:cs="Times New Roman"/>
          <w:color w:val="auto"/>
          <w:kern w:val="44"/>
          <w:sz w:val="36"/>
          <w:szCs w:val="36"/>
          <w:highlight w:val="none"/>
          <w:lang w:val="en-US" w:eastAsia="zh-CN"/>
        </w:rPr>
      </w:pPr>
      <w:bookmarkStart w:id="86" w:name="_Toc551"/>
      <w:bookmarkStart w:id="87" w:name="_Toc30944"/>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五</w:t>
      </w:r>
      <w:r>
        <w:rPr>
          <w:rFonts w:hint="eastAsia" w:ascii="Times New Roman" w:hAnsi="Times New Roman" w:eastAsia="方正小标宋简体" w:cs="Times New Roman"/>
          <w:color w:val="auto"/>
          <w:kern w:val="44"/>
          <w:sz w:val="36"/>
          <w:szCs w:val="36"/>
          <w:highlight w:val="none"/>
        </w:rPr>
        <w:t xml:space="preserve">章 </w:t>
      </w:r>
      <w:bookmarkEnd w:id="72"/>
      <w:bookmarkEnd w:id="73"/>
      <w:r>
        <w:rPr>
          <w:rFonts w:hint="eastAsia" w:ascii="Times New Roman" w:hAnsi="Times New Roman" w:eastAsia="方正小标宋简体" w:cs="Times New Roman"/>
          <w:color w:val="auto"/>
          <w:kern w:val="44"/>
          <w:sz w:val="36"/>
          <w:szCs w:val="36"/>
          <w:highlight w:val="none"/>
          <w:lang w:val="en-US" w:eastAsia="zh-CN"/>
        </w:rPr>
        <w:t xml:space="preserve">国际国内协同赋能 </w:t>
      </w:r>
      <w:bookmarkEnd w:id="86"/>
      <w:r>
        <w:rPr>
          <w:rFonts w:hint="eastAsia" w:ascii="Times New Roman" w:hAnsi="Times New Roman" w:eastAsia="方正小标宋简体" w:cs="Times New Roman"/>
          <w:color w:val="auto"/>
          <w:kern w:val="44"/>
          <w:sz w:val="36"/>
          <w:szCs w:val="36"/>
          <w:highlight w:val="none"/>
          <w:lang w:val="en-US" w:eastAsia="zh-CN"/>
        </w:rPr>
        <w:t>拓展双向投资合作空间</w:t>
      </w:r>
      <w:bookmarkEnd w:id="87"/>
    </w:p>
    <w:p w14:paraId="51370832">
      <w:pPr>
        <w:spacing w:line="560" w:lineRule="exact"/>
        <w:ind w:firstLine="640" w:firstLineChars="200"/>
        <w:rPr>
          <w:color w:val="auto"/>
          <w:highlight w:val="none"/>
        </w:rPr>
      </w:pPr>
      <w:r>
        <w:rPr>
          <w:rFonts w:hint="eastAsia"/>
          <w:color w:val="auto"/>
          <w:szCs w:val="32"/>
          <w:highlight w:val="none"/>
        </w:rPr>
        <w:t>加大招商引资力度，创新招商引资协调和服务机制，拓展招商引资渠道，深入探索</w:t>
      </w:r>
      <w:r>
        <w:rPr>
          <w:rFonts w:hint="eastAsia"/>
          <w:color w:val="auto"/>
          <w:szCs w:val="32"/>
          <w:highlight w:val="none"/>
          <w:lang w:eastAsia="zh-CN"/>
        </w:rPr>
        <w:t>“</w:t>
      </w:r>
      <w:r>
        <w:rPr>
          <w:rFonts w:hint="eastAsia"/>
          <w:color w:val="auto"/>
          <w:szCs w:val="32"/>
          <w:highlight w:val="none"/>
        </w:rPr>
        <w:t>投资中国</w:t>
      </w:r>
      <w:r>
        <w:rPr>
          <w:rFonts w:hint="eastAsia"/>
          <w:color w:val="auto"/>
          <w:szCs w:val="32"/>
          <w:highlight w:val="none"/>
          <w:lang w:eastAsia="zh-CN"/>
        </w:rPr>
        <w:t>”“</w:t>
      </w:r>
      <w:r>
        <w:rPr>
          <w:rFonts w:hint="eastAsia"/>
          <w:color w:val="auto"/>
          <w:szCs w:val="32"/>
          <w:highlight w:val="none"/>
        </w:rPr>
        <w:t>北京服务</w:t>
      </w:r>
      <w:r>
        <w:rPr>
          <w:rFonts w:hint="eastAsia"/>
          <w:color w:val="auto"/>
          <w:szCs w:val="32"/>
          <w:highlight w:val="none"/>
          <w:lang w:eastAsia="zh-CN"/>
        </w:rPr>
        <w:t>”</w:t>
      </w:r>
      <w:r>
        <w:rPr>
          <w:rFonts w:hint="eastAsia"/>
          <w:color w:val="auto"/>
          <w:szCs w:val="32"/>
          <w:highlight w:val="none"/>
        </w:rPr>
        <w:t>的朝阳实践路径，打造全球重要投资目的地。同时</w:t>
      </w:r>
      <w:r>
        <w:rPr>
          <w:rFonts w:hint="eastAsia"/>
          <w:color w:val="auto"/>
          <w:highlight w:val="none"/>
        </w:rPr>
        <w:t>推动建设企业出海综合服务体系，促进出海服务资源优质供给和高效匹配，更好</w:t>
      </w:r>
      <w:r>
        <w:rPr>
          <w:rFonts w:hint="eastAsia"/>
          <w:color w:val="auto"/>
          <w:highlight w:val="none"/>
          <w:lang w:eastAsia="zh-CN"/>
        </w:rPr>
        <w:t>地</w:t>
      </w:r>
      <w:r>
        <w:rPr>
          <w:rFonts w:hint="eastAsia"/>
          <w:color w:val="auto"/>
          <w:highlight w:val="none"/>
        </w:rPr>
        <w:t>服务和融入高质量共建</w:t>
      </w:r>
      <w:r>
        <w:rPr>
          <w:rFonts w:hint="eastAsia"/>
          <w:color w:val="auto"/>
          <w:highlight w:val="none"/>
          <w:lang w:eastAsia="zh-CN"/>
        </w:rPr>
        <w:t>“</w:t>
      </w:r>
      <w:r>
        <w:rPr>
          <w:rFonts w:hint="eastAsia"/>
          <w:color w:val="auto"/>
          <w:highlight w:val="none"/>
        </w:rPr>
        <w:t>一带一路</w:t>
      </w:r>
      <w:r>
        <w:rPr>
          <w:rFonts w:hint="eastAsia"/>
          <w:color w:val="auto"/>
          <w:highlight w:val="none"/>
          <w:lang w:eastAsia="zh-CN"/>
        </w:rPr>
        <w:t>”</w:t>
      </w:r>
      <w:r>
        <w:rPr>
          <w:rFonts w:hint="eastAsia"/>
          <w:color w:val="auto"/>
          <w:highlight w:val="none"/>
        </w:rPr>
        <w:t>。</w:t>
      </w:r>
    </w:p>
    <w:p w14:paraId="6B102E6F">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88" w:name="_Toc589"/>
      <w:bookmarkStart w:id="89" w:name="_Toc7083"/>
      <w:bookmarkStart w:id="90" w:name="_Toc7980"/>
      <w:bookmarkStart w:id="91" w:name="_Toc15934"/>
      <w:r>
        <w:rPr>
          <w:rFonts w:hint="eastAsia" w:ascii="Times New Roman" w:hAnsi="Times New Roman" w:eastAsia="黑体" w:cs="黑体"/>
          <w:color w:val="auto"/>
          <w:sz w:val="32"/>
          <w:szCs w:val="32"/>
          <w:highlight w:val="none"/>
          <w:lang w:val="en-US" w:eastAsia="zh-CN"/>
        </w:rPr>
        <w:t>第一节 创新招商引资机制</w:t>
      </w:r>
      <w:bookmarkEnd w:id="88"/>
      <w:bookmarkEnd w:id="89"/>
      <w:bookmarkEnd w:id="90"/>
      <w:bookmarkEnd w:id="91"/>
    </w:p>
    <w:p w14:paraId="6D073627">
      <w:pPr>
        <w:spacing w:line="560" w:lineRule="exact"/>
        <w:ind w:firstLine="643" w:firstLineChars="200"/>
        <w:rPr>
          <w:b w:val="0"/>
          <w:bCs w:val="0"/>
          <w:color w:val="auto"/>
          <w:szCs w:val="32"/>
          <w:highlight w:val="none"/>
        </w:rPr>
      </w:pPr>
      <w:r>
        <w:rPr>
          <w:rFonts w:hint="eastAsia"/>
          <w:b/>
          <w:bCs/>
          <w:color w:val="auto"/>
          <w:szCs w:val="32"/>
          <w:highlight w:val="none"/>
        </w:rPr>
        <w:t>健全引资协调联动机制。</w:t>
      </w:r>
      <w:r>
        <w:rPr>
          <w:color w:val="auto"/>
          <w:kern w:val="0"/>
          <w:szCs w:val="32"/>
          <w:highlight w:val="none"/>
          <w:lang w:bidi="ar"/>
        </w:rPr>
        <w:t>坚</w:t>
      </w:r>
      <w:r>
        <w:rPr>
          <w:color w:val="auto"/>
          <w:kern w:val="2"/>
          <w:szCs w:val="32"/>
          <w:highlight w:val="none"/>
          <w:lang w:bidi="ar"/>
        </w:rPr>
        <w:t>持带规划、带空间、带生态、带政策、带资本开展招商引资</w:t>
      </w:r>
      <w:r>
        <w:rPr>
          <w:rFonts w:hint="default"/>
          <w:color w:val="auto"/>
          <w:kern w:val="2"/>
          <w:szCs w:val="32"/>
          <w:highlight w:val="none"/>
          <w:lang w:bidi="ar"/>
        </w:rPr>
        <w:t>，吸引更多优质企业落地。落实好“准入又准营”</w:t>
      </w:r>
      <w:r>
        <w:rPr>
          <w:rFonts w:hint="eastAsia"/>
          <w:color w:val="auto"/>
          <w:kern w:val="2"/>
          <w:szCs w:val="32"/>
          <w:highlight w:val="none"/>
          <w:lang w:eastAsia="zh-CN" w:bidi="ar"/>
        </w:rPr>
        <w:t>原则</w:t>
      </w:r>
      <w:r>
        <w:rPr>
          <w:rFonts w:hint="default"/>
          <w:color w:val="auto"/>
          <w:kern w:val="2"/>
          <w:szCs w:val="32"/>
          <w:highlight w:val="none"/>
          <w:lang w:bidi="ar"/>
        </w:rPr>
        <w:t>，</w:t>
      </w:r>
      <w:r>
        <w:rPr>
          <w:rFonts w:hint="default" w:ascii="Times New Roman" w:hAnsi="Times New Roman"/>
          <w:color w:val="auto"/>
          <w:kern w:val="2"/>
          <w:szCs w:val="32"/>
          <w:highlight w:val="none"/>
          <w:lang w:bidi="ar"/>
        </w:rPr>
        <w:t>深化链式招商、资本招商、平台招商、以商招商，</w:t>
      </w:r>
      <w:r>
        <w:rPr>
          <w:rFonts w:hint="default"/>
          <w:color w:val="auto"/>
          <w:szCs w:val="32"/>
          <w:highlight w:val="none"/>
        </w:rPr>
        <w:t>建立多元化引资促进工作体系，</w:t>
      </w:r>
      <w:r>
        <w:rPr>
          <w:rFonts w:hint="default" w:ascii="Times New Roman" w:hAnsi="Times New Roman" w:eastAsia="仿宋_GB2312" w:cs="Times New Roman"/>
          <w:color w:val="auto"/>
          <w:kern w:val="2"/>
          <w:sz w:val="32"/>
          <w:szCs w:val="32"/>
          <w:highlight w:val="none"/>
          <w:lang w:val="en-US" w:eastAsia="zh-CN" w:bidi="ar"/>
        </w:rPr>
        <w:t>加快形成政府、商协会、中介机构、企业等多方参与的外商投资促进协调联动机制</w:t>
      </w:r>
      <w:r>
        <w:rPr>
          <w:rFonts w:hint="default"/>
          <w:color w:val="auto"/>
          <w:szCs w:val="32"/>
          <w:highlight w:val="none"/>
        </w:rPr>
        <w:t>。</w:t>
      </w:r>
      <w:r>
        <w:rPr>
          <w:rFonts w:hint="eastAsia"/>
          <w:color w:val="auto"/>
          <w:szCs w:val="32"/>
          <w:highlight w:val="none"/>
          <w:lang w:val="en-US" w:eastAsia="zh-CN"/>
        </w:rPr>
        <w:t>充分发挥</w:t>
      </w:r>
      <w:r>
        <w:rPr>
          <w:rFonts w:hint="eastAsia"/>
          <w:color w:val="auto"/>
          <w:szCs w:val="32"/>
          <w:highlight w:val="none"/>
          <w:lang w:eastAsia="zh-CN"/>
        </w:rPr>
        <w:t>“</w:t>
      </w:r>
      <w:r>
        <w:rPr>
          <w:rFonts w:hint="eastAsia"/>
          <w:color w:val="auto"/>
          <w:szCs w:val="32"/>
          <w:highlight w:val="none"/>
        </w:rPr>
        <w:t>服务包</w:t>
      </w:r>
      <w:r>
        <w:rPr>
          <w:rFonts w:hint="eastAsia"/>
          <w:color w:val="auto"/>
          <w:szCs w:val="32"/>
          <w:highlight w:val="none"/>
          <w:lang w:eastAsia="zh-CN"/>
        </w:rPr>
        <w:t>”机制作用</w:t>
      </w:r>
      <w:r>
        <w:rPr>
          <w:rFonts w:hint="eastAsia"/>
          <w:color w:val="auto"/>
          <w:szCs w:val="32"/>
          <w:highlight w:val="none"/>
        </w:rPr>
        <w:t>，</w:t>
      </w:r>
      <w:r>
        <w:rPr>
          <w:rFonts w:hint="eastAsia"/>
          <w:color w:val="auto"/>
          <w:szCs w:val="32"/>
          <w:highlight w:val="none"/>
          <w:lang w:eastAsia="zh-CN"/>
        </w:rPr>
        <w:t>动态</w:t>
      </w:r>
      <w:r>
        <w:rPr>
          <w:rFonts w:hint="eastAsia"/>
          <w:color w:val="auto"/>
          <w:szCs w:val="32"/>
          <w:highlight w:val="none"/>
        </w:rPr>
        <w:t>完善产业政策、产业空间、公共服务等服务资源库，积极与企业共享</w:t>
      </w:r>
      <w:r>
        <w:rPr>
          <w:color w:val="auto"/>
          <w:szCs w:val="32"/>
          <w:highlight w:val="none"/>
        </w:rPr>
        <w:t>。</w:t>
      </w:r>
      <w:r>
        <w:rPr>
          <w:rFonts w:hint="default"/>
          <w:color w:val="auto"/>
          <w:szCs w:val="32"/>
          <w:highlight w:val="none"/>
        </w:rPr>
        <w:t>完善国际商会联络服务机制，</w:t>
      </w:r>
      <w:r>
        <w:rPr>
          <w:rFonts w:hint="default" w:ascii="Times New Roman" w:hAnsi="Times New Roman"/>
          <w:color w:val="auto"/>
          <w:szCs w:val="32"/>
          <w:highlight w:val="none"/>
        </w:rPr>
        <w:t>支持和联动各类国际组织、跨国企业举办全球性活动，持续拓展国际交往平台矩阵，加速引聚全球顶尖机构、标杆项目</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lang w:val="en-US" w:eastAsia="zh-CN"/>
        </w:rPr>
        <w:t>高端人才</w:t>
      </w:r>
      <w:r>
        <w:rPr>
          <w:rFonts w:hint="default"/>
          <w:color w:val="auto"/>
          <w:szCs w:val="32"/>
          <w:highlight w:val="none"/>
        </w:rPr>
        <w:t>。</w:t>
      </w:r>
    </w:p>
    <w:p w14:paraId="2BAC632E">
      <w:pPr>
        <w:spacing w:line="560" w:lineRule="exact"/>
        <w:ind w:firstLine="643" w:firstLineChars="200"/>
        <w:rPr>
          <w:rFonts w:hint="default" w:ascii="Times New Roman" w:hAnsi="Times New Roman"/>
          <w:color w:val="auto"/>
          <w:highlight w:val="none"/>
          <w:lang w:val="en-US" w:eastAsia="zh-CN"/>
        </w:rPr>
      </w:pPr>
      <w:r>
        <w:rPr>
          <w:rFonts w:hint="eastAsia" w:ascii="Times New Roman" w:hAnsi="Times New Roman"/>
          <w:b/>
          <w:bCs/>
          <w:color w:val="auto"/>
          <w:szCs w:val="32"/>
          <w:highlight w:val="none"/>
        </w:rPr>
        <w:t>完善外商投资服务体系。</w:t>
      </w:r>
      <w:r>
        <w:rPr>
          <w:rFonts w:ascii="Times New Roman" w:hAnsi="Times New Roman"/>
          <w:color w:val="auto"/>
          <w:kern w:val="0"/>
          <w:szCs w:val="32"/>
          <w:highlight w:val="none"/>
          <w:lang w:bidi="ar"/>
        </w:rPr>
        <w:t>落实</w:t>
      </w:r>
      <w:r>
        <w:rPr>
          <w:rFonts w:hint="eastAsia" w:ascii="Times New Roman" w:hAnsi="Times New Roman"/>
          <w:color w:val="auto"/>
          <w:szCs w:val="32"/>
          <w:highlight w:val="none"/>
        </w:rPr>
        <w:t>外商投资</w:t>
      </w:r>
      <w:r>
        <w:rPr>
          <w:rFonts w:ascii="Times New Roman" w:hAnsi="Times New Roman"/>
          <w:color w:val="auto"/>
          <w:kern w:val="0"/>
          <w:szCs w:val="32"/>
          <w:highlight w:val="none"/>
          <w:lang w:bidi="ar"/>
        </w:rPr>
        <w:t>圆桌会议制度和</w:t>
      </w:r>
      <w:r>
        <w:rPr>
          <w:rFonts w:hint="eastAsia" w:ascii="Times New Roman" w:hAnsi="Times New Roman"/>
          <w:color w:val="auto"/>
          <w:szCs w:val="32"/>
          <w:highlight w:val="none"/>
        </w:rPr>
        <w:t>外</w:t>
      </w:r>
      <w:r>
        <w:rPr>
          <w:rFonts w:hint="eastAsia"/>
          <w:color w:val="auto"/>
          <w:szCs w:val="32"/>
          <w:highlight w:val="none"/>
          <w:lang w:eastAsia="zh-CN"/>
        </w:rPr>
        <w:t>资</w:t>
      </w:r>
      <w:r>
        <w:rPr>
          <w:rFonts w:ascii="Times New Roman" w:hAnsi="Times New Roman"/>
          <w:color w:val="auto"/>
          <w:kern w:val="0"/>
          <w:szCs w:val="32"/>
          <w:highlight w:val="none"/>
          <w:lang w:bidi="ar"/>
        </w:rPr>
        <w:t>企业</w:t>
      </w:r>
      <w:r>
        <w:rPr>
          <w:rFonts w:hint="eastAsia" w:ascii="Times New Roman" w:hAnsi="Times New Roman"/>
          <w:color w:val="auto"/>
          <w:kern w:val="0"/>
          <w:szCs w:val="32"/>
          <w:highlight w:val="none"/>
          <w:lang w:eastAsia="zh-CN" w:bidi="ar"/>
        </w:rPr>
        <w:t>“</w:t>
      </w:r>
      <w:r>
        <w:rPr>
          <w:rFonts w:ascii="Times New Roman" w:hAnsi="Times New Roman"/>
          <w:color w:val="auto"/>
          <w:kern w:val="0"/>
          <w:szCs w:val="32"/>
          <w:highlight w:val="none"/>
          <w:lang w:bidi="ar"/>
        </w:rPr>
        <w:t>闭环式</w:t>
      </w:r>
      <w:r>
        <w:rPr>
          <w:rFonts w:hint="eastAsia" w:ascii="Times New Roman" w:hAnsi="Times New Roman"/>
          <w:color w:val="auto"/>
          <w:kern w:val="0"/>
          <w:szCs w:val="32"/>
          <w:highlight w:val="none"/>
          <w:lang w:eastAsia="zh-CN" w:bidi="ar"/>
        </w:rPr>
        <w:t>”</w:t>
      </w:r>
      <w:r>
        <w:rPr>
          <w:rFonts w:ascii="Times New Roman" w:hAnsi="Times New Roman"/>
          <w:color w:val="auto"/>
          <w:kern w:val="0"/>
          <w:szCs w:val="32"/>
          <w:highlight w:val="none"/>
          <w:lang w:bidi="ar"/>
        </w:rPr>
        <w:t>诉求响应机制，优化外资项目对接、政策辅导、要素保障等全链条服务，提升企业服务质量和效率。</w:t>
      </w:r>
      <w:r>
        <w:rPr>
          <w:rFonts w:hint="eastAsia" w:ascii="Times New Roman" w:hAnsi="Times New Roman"/>
          <w:color w:val="auto"/>
          <w:szCs w:val="32"/>
          <w:highlight w:val="none"/>
        </w:rPr>
        <w:t>深化</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rPr>
        <w:t>两区</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rPr>
        <w:t>会客厅等政策宣介和</w:t>
      </w:r>
      <w:r>
        <w:rPr>
          <w:rFonts w:hint="eastAsia" w:ascii="Times New Roman" w:hAnsi="Times New Roman"/>
          <w:b w:val="0"/>
          <w:bCs w:val="0"/>
          <w:color w:val="auto"/>
          <w:szCs w:val="32"/>
          <w:highlight w:val="none"/>
        </w:rPr>
        <w:t>投资促进</w:t>
      </w:r>
      <w:r>
        <w:rPr>
          <w:rFonts w:hint="eastAsia" w:ascii="Times New Roman" w:hAnsi="Times New Roman"/>
          <w:color w:val="auto"/>
          <w:szCs w:val="32"/>
          <w:highlight w:val="none"/>
        </w:rPr>
        <w:t>活动，强化跟踪服务，提升活动实效。</w:t>
      </w:r>
      <w:r>
        <w:rPr>
          <w:rFonts w:hint="eastAsia" w:ascii="Times New Roman" w:hAnsi="Times New Roman"/>
          <w:color w:val="auto"/>
          <w:szCs w:val="32"/>
          <w:highlight w:val="none"/>
          <w:lang w:val="en-US" w:eastAsia="zh-CN"/>
        </w:rPr>
        <w:t>建立外商投资专业服务队伍，为外资项目提供从意向对接、落地审批到开办运营等“一站式”全周期服务。</w:t>
      </w:r>
    </w:p>
    <w:p w14:paraId="2C4AB82F">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92" w:name="_Toc166"/>
      <w:bookmarkStart w:id="93" w:name="_Toc12531"/>
      <w:bookmarkStart w:id="94" w:name="_Toc20211"/>
      <w:bookmarkStart w:id="95" w:name="_Toc25664"/>
      <w:r>
        <w:rPr>
          <w:rFonts w:hint="eastAsia" w:ascii="Times New Roman" w:hAnsi="Times New Roman" w:eastAsia="黑体" w:cs="黑体"/>
          <w:color w:val="auto"/>
          <w:sz w:val="32"/>
          <w:szCs w:val="32"/>
          <w:highlight w:val="none"/>
          <w:lang w:val="en-US" w:eastAsia="zh-CN"/>
        </w:rPr>
        <w:t>第二节 拓展招商引资渠道</w:t>
      </w:r>
      <w:bookmarkEnd w:id="92"/>
      <w:bookmarkEnd w:id="93"/>
      <w:bookmarkEnd w:id="94"/>
      <w:bookmarkEnd w:id="95"/>
    </w:p>
    <w:p w14:paraId="56860024">
      <w:pPr>
        <w:spacing w:line="560" w:lineRule="exact"/>
        <w:ind w:firstLine="643" w:firstLineChars="200"/>
        <w:rPr>
          <w:color w:val="auto"/>
          <w:szCs w:val="32"/>
          <w:highlight w:val="none"/>
        </w:rPr>
      </w:pPr>
      <w:r>
        <w:rPr>
          <w:rFonts w:hint="eastAsia"/>
          <w:b/>
          <w:bCs/>
          <w:color w:val="auto"/>
          <w:szCs w:val="32"/>
          <w:highlight w:val="none"/>
        </w:rPr>
        <w:t>多渠道开展外商投资促进。</w:t>
      </w:r>
      <w:r>
        <w:rPr>
          <w:bCs/>
          <w:color w:val="auto"/>
          <w:kern w:val="0"/>
          <w:szCs w:val="32"/>
          <w:highlight w:val="none"/>
          <w:lang w:bidi="ar"/>
        </w:rPr>
        <w:t>深化与欧美、香港等优势外资来源地合作，</w:t>
      </w:r>
      <w:r>
        <w:rPr>
          <w:color w:val="auto"/>
          <w:kern w:val="0"/>
          <w:szCs w:val="32"/>
          <w:highlight w:val="none"/>
          <w:lang w:bidi="ar"/>
        </w:rPr>
        <w:t>积极对接中东、东盟等</w:t>
      </w:r>
      <w:r>
        <w:rPr>
          <w:rFonts w:hint="eastAsia"/>
          <w:color w:val="auto"/>
          <w:kern w:val="0"/>
          <w:szCs w:val="32"/>
          <w:highlight w:val="none"/>
          <w:lang w:eastAsia="zh-CN" w:bidi="ar"/>
        </w:rPr>
        <w:t>“</w:t>
      </w:r>
      <w:r>
        <w:rPr>
          <w:color w:val="auto"/>
          <w:kern w:val="0"/>
          <w:szCs w:val="32"/>
          <w:highlight w:val="none"/>
          <w:lang w:bidi="ar"/>
        </w:rPr>
        <w:t>一带一路</w:t>
      </w:r>
      <w:r>
        <w:rPr>
          <w:rFonts w:hint="eastAsia"/>
          <w:color w:val="auto"/>
          <w:kern w:val="0"/>
          <w:szCs w:val="32"/>
          <w:highlight w:val="none"/>
          <w:lang w:eastAsia="zh-CN" w:bidi="ar"/>
        </w:rPr>
        <w:t>”</w:t>
      </w:r>
      <w:r>
        <w:rPr>
          <w:color w:val="auto"/>
          <w:kern w:val="0"/>
          <w:szCs w:val="32"/>
          <w:highlight w:val="none"/>
          <w:lang w:bidi="ar"/>
        </w:rPr>
        <w:t>沿线地区</w:t>
      </w:r>
      <w:r>
        <w:rPr>
          <w:rFonts w:hint="eastAsia"/>
          <w:color w:val="auto"/>
          <w:szCs w:val="32"/>
          <w:highlight w:val="none"/>
        </w:rPr>
        <w:t>外商投资</w:t>
      </w:r>
      <w:r>
        <w:rPr>
          <w:color w:val="auto"/>
          <w:kern w:val="0"/>
          <w:szCs w:val="32"/>
          <w:highlight w:val="none"/>
          <w:lang w:bidi="ar"/>
        </w:rPr>
        <w:t>企业机构，</w:t>
      </w:r>
      <w:r>
        <w:rPr>
          <w:rFonts w:hint="eastAsia" w:eastAsia="仿宋_GB2312"/>
          <w:color w:val="auto"/>
          <w:kern w:val="0"/>
          <w:sz w:val="32"/>
          <w:szCs w:val="32"/>
          <w:highlight w:val="none"/>
          <w:lang w:bidi="ar"/>
        </w:rPr>
        <w:t>进一步拓展外商投资来源地</w:t>
      </w:r>
      <w:r>
        <w:rPr>
          <w:color w:val="auto"/>
          <w:kern w:val="0"/>
          <w:szCs w:val="32"/>
          <w:highlight w:val="none"/>
          <w:lang w:bidi="ar"/>
        </w:rPr>
        <w:t>。搭建多元化交流渠道，依托中国国际服务贸易交易会、中国国际进口博览会、京港洽谈会等各类经贸平台，积极开展项目洽谈、投资对接活动，在重点产业领域引进一批重大外资项目。</w:t>
      </w:r>
      <w:r>
        <w:rPr>
          <w:rFonts w:hint="eastAsia"/>
          <w:color w:val="auto"/>
          <w:szCs w:val="32"/>
          <w:highlight w:val="none"/>
        </w:rPr>
        <w:t>加强与境内外各类商协会、全球知名专业服务机构、驻外使领馆、跨国公司等机构和企业对接，积极</w:t>
      </w:r>
      <w:r>
        <w:rPr>
          <w:rFonts w:hint="eastAsia"/>
          <w:color w:val="auto"/>
          <w:szCs w:val="32"/>
          <w:highlight w:val="none"/>
          <w:lang w:eastAsia="zh-CN"/>
        </w:rPr>
        <w:t>宣传推介</w:t>
      </w:r>
      <w:r>
        <w:rPr>
          <w:rFonts w:hint="eastAsia"/>
          <w:color w:val="auto"/>
          <w:szCs w:val="32"/>
          <w:highlight w:val="none"/>
        </w:rPr>
        <w:t>朝阳投资机遇。</w:t>
      </w:r>
    </w:p>
    <w:p w14:paraId="77CFBD6F">
      <w:pPr>
        <w:spacing w:line="560" w:lineRule="exact"/>
        <w:ind w:firstLine="643" w:firstLineChars="200"/>
        <w:rPr>
          <w:rFonts w:hint="eastAsia" w:ascii="Times New Roman" w:hAnsi="Times New Roman" w:eastAsia="仿宋_GB2312" w:cs="仿宋_GB2312"/>
          <w:b w:val="0"/>
          <w:bCs/>
          <w:strike/>
          <w:color w:val="auto"/>
          <w:sz w:val="32"/>
          <w:szCs w:val="32"/>
          <w:highlight w:val="none"/>
          <w:lang w:val="en-US" w:eastAsia="zh-CN"/>
        </w:rPr>
      </w:pPr>
      <w:r>
        <w:rPr>
          <w:rFonts w:hint="eastAsia"/>
          <w:b/>
          <w:bCs/>
          <w:color w:val="auto"/>
          <w:szCs w:val="32"/>
          <w:highlight w:val="none"/>
        </w:rPr>
        <w:t>多元化加大引资力度。</w:t>
      </w:r>
      <w:r>
        <w:rPr>
          <w:rFonts w:hint="eastAsia"/>
          <w:color w:val="auto"/>
          <w:szCs w:val="32"/>
          <w:highlight w:val="none"/>
        </w:rPr>
        <w:t>大力开展</w:t>
      </w:r>
      <w:r>
        <w:rPr>
          <w:rFonts w:hint="eastAsia"/>
          <w:color w:val="auto"/>
          <w:szCs w:val="32"/>
          <w:highlight w:val="none"/>
          <w:lang w:eastAsia="zh-CN"/>
        </w:rPr>
        <w:t>“</w:t>
      </w:r>
      <w:r>
        <w:rPr>
          <w:rFonts w:hint="eastAsia"/>
          <w:color w:val="auto"/>
          <w:szCs w:val="32"/>
          <w:highlight w:val="none"/>
        </w:rPr>
        <w:t>走出去</w:t>
      </w:r>
      <w:r>
        <w:rPr>
          <w:rFonts w:hint="eastAsia"/>
          <w:color w:val="auto"/>
          <w:szCs w:val="32"/>
          <w:highlight w:val="none"/>
          <w:lang w:eastAsia="zh-CN"/>
        </w:rPr>
        <w:t>”</w:t>
      </w:r>
      <w:r>
        <w:rPr>
          <w:rFonts w:hint="eastAsia"/>
          <w:color w:val="auto"/>
          <w:szCs w:val="32"/>
          <w:highlight w:val="none"/>
        </w:rPr>
        <w:t>精准招商和</w:t>
      </w:r>
      <w:r>
        <w:rPr>
          <w:rFonts w:hint="eastAsia"/>
          <w:color w:val="auto"/>
          <w:szCs w:val="32"/>
          <w:highlight w:val="none"/>
          <w:lang w:eastAsia="zh-CN"/>
        </w:rPr>
        <w:t>“</w:t>
      </w:r>
      <w:r>
        <w:rPr>
          <w:rFonts w:hint="eastAsia"/>
          <w:color w:val="auto"/>
          <w:szCs w:val="32"/>
          <w:highlight w:val="none"/>
        </w:rPr>
        <w:t>请进来</w:t>
      </w:r>
      <w:r>
        <w:rPr>
          <w:rFonts w:hint="eastAsia"/>
          <w:color w:val="auto"/>
          <w:szCs w:val="32"/>
          <w:highlight w:val="none"/>
          <w:lang w:eastAsia="zh-CN"/>
        </w:rPr>
        <w:t>”</w:t>
      </w:r>
      <w:r>
        <w:rPr>
          <w:rFonts w:hint="eastAsia"/>
          <w:color w:val="auto"/>
          <w:szCs w:val="32"/>
          <w:highlight w:val="none"/>
        </w:rPr>
        <w:t>考察洽谈，积极拓展海外招商合作伙伴，持续扩大全球招商版图。</w:t>
      </w:r>
      <w:r>
        <w:rPr>
          <w:rFonts w:hint="eastAsia" w:eastAsia="仿宋_GB2312"/>
          <w:color w:val="auto"/>
          <w:sz w:val="32"/>
          <w:szCs w:val="32"/>
          <w:highlight w:val="none"/>
        </w:rPr>
        <w:t>深化“总部成长计划”，加大对跨国公司地区总部、外资研发总部、贸易型总部、文化型总部、科创型总部、行业示范总部等企业引进和培育力度，进一步集聚财资管理、供应链管理、研发创新等功能，</w:t>
      </w:r>
      <w:r>
        <w:rPr>
          <w:rFonts w:hint="eastAsia" w:eastAsia="仿宋_GB2312"/>
          <w:color w:val="auto"/>
          <w:sz w:val="32"/>
          <w:highlight w:val="none"/>
        </w:rPr>
        <w:t>提升总部经济能级</w:t>
      </w:r>
      <w:r>
        <w:rPr>
          <w:rFonts w:hint="eastAsia" w:eastAsia="仿宋_GB2312"/>
          <w:color w:val="auto"/>
          <w:sz w:val="32"/>
          <w:szCs w:val="32"/>
          <w:highlight w:val="none"/>
        </w:rPr>
        <w:t>。</w:t>
      </w:r>
      <w:r>
        <w:rPr>
          <w:rFonts w:hint="eastAsia"/>
          <w:color w:val="auto"/>
          <w:szCs w:val="32"/>
          <w:highlight w:val="none"/>
        </w:rPr>
        <w:t>积极发挥</w:t>
      </w:r>
      <w:r>
        <w:rPr>
          <w:rFonts w:hint="eastAsia"/>
          <w:color w:val="auto"/>
        </w:rPr>
        <w:t>北京C</w:t>
      </w:r>
      <w:r>
        <w:rPr>
          <w:color w:val="auto"/>
        </w:rPr>
        <w:t>BD</w:t>
      </w:r>
      <w:r>
        <w:rPr>
          <w:rFonts w:hint="eastAsia"/>
          <w:color w:val="auto"/>
          <w:szCs w:val="32"/>
          <w:highlight w:val="none"/>
        </w:rPr>
        <w:t>全球商务科技联络站作用，</w:t>
      </w:r>
      <w:r>
        <w:rPr>
          <w:rFonts w:hint="eastAsia"/>
          <w:color w:val="auto"/>
          <w:szCs w:val="32"/>
          <w:highlight w:val="none"/>
          <w:lang w:val="en-US" w:eastAsia="zh-CN"/>
        </w:rPr>
        <w:t>加大</w:t>
      </w:r>
      <w:r>
        <w:rPr>
          <w:rFonts w:hint="eastAsia" w:ascii="Times New Roman" w:hAnsi="Times New Roman" w:cs="仿宋_GB2312"/>
          <w:b w:val="0"/>
          <w:bCs/>
          <w:color w:val="auto"/>
          <w:sz w:val="32"/>
          <w:szCs w:val="32"/>
          <w:highlight w:val="none"/>
          <w:lang w:val="en-US" w:eastAsia="zh-CN"/>
        </w:rPr>
        <w:t>重点外资</w:t>
      </w:r>
      <w:r>
        <w:rPr>
          <w:rFonts w:hint="eastAsia" w:ascii="Times New Roman" w:hAnsi="Times New Roman" w:eastAsia="仿宋_GB2312" w:cs="仿宋_GB2312"/>
          <w:b w:val="0"/>
          <w:bCs/>
          <w:color w:val="auto"/>
          <w:sz w:val="32"/>
          <w:szCs w:val="32"/>
          <w:highlight w:val="none"/>
          <w:lang w:val="en-US" w:eastAsia="zh-CN"/>
        </w:rPr>
        <w:t>领域</w:t>
      </w:r>
      <w:r>
        <w:rPr>
          <w:rFonts w:hint="eastAsia" w:ascii="Times New Roman" w:hAnsi="Times New Roman" w:cs="仿宋_GB2312"/>
          <w:b w:val="0"/>
          <w:bCs/>
          <w:color w:val="auto"/>
          <w:sz w:val="32"/>
          <w:szCs w:val="32"/>
          <w:highlight w:val="none"/>
          <w:lang w:val="en-US" w:eastAsia="zh-CN"/>
        </w:rPr>
        <w:t>创新政策供给</w:t>
      </w:r>
      <w:r>
        <w:rPr>
          <w:rFonts w:hint="eastAsia" w:cs="仿宋_GB2312"/>
          <w:b w:val="0"/>
          <w:bCs/>
          <w:color w:val="auto"/>
          <w:sz w:val="32"/>
          <w:szCs w:val="32"/>
          <w:highlight w:val="none"/>
          <w:lang w:val="en-US" w:eastAsia="zh-CN"/>
        </w:rPr>
        <w:t>力度</w:t>
      </w:r>
      <w:r>
        <w:rPr>
          <w:rFonts w:hint="eastAsia" w:ascii="Times New Roman" w:hAnsi="Times New Roman" w:eastAsia="仿宋_GB2312" w:cs="仿宋_GB2312"/>
          <w:b w:val="0"/>
          <w:bCs/>
          <w:color w:val="auto"/>
          <w:sz w:val="32"/>
          <w:szCs w:val="32"/>
          <w:highlight w:val="none"/>
          <w:lang w:val="en-US" w:eastAsia="zh-CN"/>
        </w:rPr>
        <w:t>，鼓励外商投资企业</w:t>
      </w:r>
      <w:r>
        <w:rPr>
          <w:rFonts w:hint="eastAsia" w:eastAsia="仿宋_GB2312"/>
          <w:color w:val="auto"/>
          <w:kern w:val="0"/>
          <w:sz w:val="32"/>
          <w:szCs w:val="40"/>
          <w:highlight w:val="none"/>
          <w:lang w:bidi="ar"/>
        </w:rPr>
        <w:t>通过增资扩股、利润再投资等方式扩大投资规模</w:t>
      </w:r>
      <w:r>
        <w:rPr>
          <w:rFonts w:hint="eastAsia" w:ascii="Times New Roman" w:hAnsi="Times New Roman" w:eastAsia="仿宋_GB2312" w:cs="仿宋_GB2312"/>
          <w:b w:val="0"/>
          <w:bCs/>
          <w:color w:val="auto"/>
          <w:sz w:val="32"/>
          <w:szCs w:val="32"/>
          <w:highlight w:val="none"/>
          <w:lang w:val="en-US" w:eastAsia="zh-CN"/>
        </w:rPr>
        <w:t>。支持内资企业以跨国并购、境外上市、合规返程投资等方式引进国际品牌、技术、资本等要素。</w:t>
      </w:r>
    </w:p>
    <w:p w14:paraId="388AB899">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96" w:name="_Toc30562"/>
      <w:bookmarkStart w:id="97" w:name="_Toc6557"/>
      <w:bookmarkStart w:id="98" w:name="_Toc20571"/>
      <w:bookmarkStart w:id="99" w:name="_Toc27150"/>
      <w:r>
        <w:rPr>
          <w:rFonts w:hint="eastAsia" w:ascii="Times New Roman" w:hAnsi="Times New Roman" w:eastAsia="黑体" w:cs="黑体"/>
          <w:color w:val="auto"/>
          <w:sz w:val="32"/>
          <w:szCs w:val="32"/>
          <w:highlight w:val="none"/>
          <w:lang w:val="en-US" w:eastAsia="zh-CN"/>
        </w:rPr>
        <w:t xml:space="preserve">第三节 </w:t>
      </w:r>
      <w:bookmarkEnd w:id="96"/>
      <w:bookmarkEnd w:id="97"/>
      <w:r>
        <w:rPr>
          <w:rFonts w:hint="eastAsia" w:ascii="Times New Roman" w:hAnsi="Times New Roman" w:eastAsia="黑体" w:cs="黑体"/>
          <w:color w:val="auto"/>
          <w:sz w:val="32"/>
          <w:szCs w:val="32"/>
          <w:highlight w:val="none"/>
          <w:lang w:val="en-US" w:eastAsia="zh-CN"/>
        </w:rPr>
        <w:t>优化出海</w:t>
      </w:r>
      <w:bookmarkEnd w:id="98"/>
      <w:bookmarkEnd w:id="99"/>
      <w:r>
        <w:rPr>
          <w:rFonts w:hint="eastAsia" w:ascii="Times New Roman" w:hAnsi="Times New Roman" w:eastAsia="黑体" w:cs="黑体"/>
          <w:color w:val="auto"/>
          <w:sz w:val="32"/>
          <w:szCs w:val="32"/>
          <w:highlight w:val="none"/>
          <w:lang w:val="en-US" w:eastAsia="zh-CN"/>
        </w:rPr>
        <w:t>服务举措</w:t>
      </w:r>
    </w:p>
    <w:p w14:paraId="22E27373">
      <w:pPr>
        <w:spacing w:line="560" w:lineRule="exact"/>
        <w:ind w:firstLine="643" w:firstLineChars="200"/>
        <w:rPr>
          <w:b/>
          <w:bCs/>
          <w:color w:val="auto"/>
          <w:szCs w:val="32"/>
          <w:highlight w:val="none"/>
        </w:rPr>
      </w:pPr>
      <w:r>
        <w:rPr>
          <w:rFonts w:hint="eastAsia"/>
          <w:b/>
          <w:bCs/>
          <w:color w:val="auto"/>
          <w:szCs w:val="32"/>
          <w:highlight w:val="none"/>
        </w:rPr>
        <w:t>完善企业出海综合服务。</w:t>
      </w:r>
      <w:r>
        <w:rPr>
          <w:rFonts w:hint="eastAsia"/>
          <w:b w:val="0"/>
          <w:bCs w:val="0"/>
          <w:color w:val="auto"/>
          <w:szCs w:val="32"/>
          <w:highlight w:val="none"/>
        </w:rPr>
        <w:t>搭建出海服务平台</w:t>
      </w:r>
      <w:r>
        <w:rPr>
          <w:rFonts w:hint="eastAsia"/>
          <w:b w:val="0"/>
          <w:bCs w:val="0"/>
          <w:color w:val="auto"/>
          <w:szCs w:val="32"/>
          <w:highlight w:val="none"/>
          <w:lang w:eastAsia="zh-CN"/>
        </w:rPr>
        <w:t>，</w:t>
      </w:r>
      <w:r>
        <w:rPr>
          <w:rFonts w:hint="eastAsia" w:eastAsia="仿宋_GB2312"/>
          <w:color w:val="auto"/>
          <w:kern w:val="0"/>
          <w:sz w:val="32"/>
          <w:szCs w:val="32"/>
          <w:highlight w:val="none"/>
          <w:lang w:bidi="ar"/>
        </w:rPr>
        <w:t>探索建立一站式服务平台</w:t>
      </w:r>
      <w:r>
        <w:rPr>
          <w:rFonts w:hint="eastAsia"/>
          <w:color w:val="auto"/>
          <w:szCs w:val="32"/>
          <w:highlight w:val="none"/>
        </w:rPr>
        <w:t>，集中整合出海活动信息及专业服务供给，</w:t>
      </w:r>
      <w:r>
        <w:rPr>
          <w:rFonts w:hint="eastAsia"/>
          <w:color w:val="auto"/>
          <w:szCs w:val="32"/>
          <w:highlight w:val="none"/>
          <w:lang w:eastAsia="zh-CN"/>
        </w:rPr>
        <w:t>为企业</w:t>
      </w:r>
      <w:r>
        <w:rPr>
          <w:rFonts w:hint="eastAsia"/>
          <w:color w:val="auto"/>
          <w:szCs w:val="32"/>
          <w:highlight w:val="none"/>
        </w:rPr>
        <w:t>提供涵盖境外投资备案指导、政策咨询、专业资源对接等</w:t>
      </w:r>
      <w:r>
        <w:rPr>
          <w:rFonts w:hint="eastAsia"/>
          <w:color w:val="auto"/>
          <w:szCs w:val="32"/>
          <w:highlight w:val="none"/>
          <w:lang w:val="en-US" w:eastAsia="zh-CN"/>
        </w:rPr>
        <w:t>线上线下深度融合的</w:t>
      </w:r>
      <w:r>
        <w:rPr>
          <w:rFonts w:hint="eastAsia"/>
          <w:color w:val="auto"/>
          <w:szCs w:val="32"/>
          <w:highlight w:val="none"/>
        </w:rPr>
        <w:t>综合性服务。发挥区内商务服务机构集聚优势，</w:t>
      </w:r>
      <w:r>
        <w:rPr>
          <w:rFonts w:hint="eastAsia" w:eastAsia="仿宋_GB2312"/>
          <w:color w:val="auto"/>
          <w:kern w:val="0"/>
          <w:sz w:val="32"/>
          <w:szCs w:val="32"/>
          <w:highlight w:val="none"/>
          <w:lang w:bidi="ar"/>
        </w:rPr>
        <w:t>聚焦企业国际化发展需求，</w:t>
      </w:r>
      <w:r>
        <w:rPr>
          <w:rFonts w:hint="eastAsia" w:ascii="Times New Roman" w:hAnsi="Times New Roman" w:eastAsia="仿宋_GB2312" w:cs="Times New Roman"/>
          <w:b w:val="0"/>
          <w:color w:val="auto"/>
          <w:sz w:val="32"/>
          <w:szCs w:val="32"/>
          <w:highlight w:val="none"/>
          <w:u w:val="none"/>
        </w:rPr>
        <w:t>打造</w:t>
      </w:r>
      <w:r>
        <w:rPr>
          <w:rFonts w:hint="eastAsia" w:cs="Times New Roman"/>
          <w:b w:val="0"/>
          <w:color w:val="auto"/>
          <w:sz w:val="32"/>
          <w:szCs w:val="32"/>
          <w:highlight w:val="none"/>
          <w:u w:val="none"/>
          <w:lang w:eastAsia="zh-CN"/>
        </w:rPr>
        <w:t>“</w:t>
      </w:r>
      <w:r>
        <w:rPr>
          <w:rFonts w:hint="eastAsia" w:ascii="Times New Roman" w:hAnsi="Times New Roman" w:eastAsia="仿宋_GB2312" w:cs="Times New Roman"/>
          <w:b w:val="0"/>
          <w:color w:val="auto"/>
          <w:sz w:val="32"/>
          <w:szCs w:val="32"/>
          <w:highlight w:val="none"/>
          <w:u w:val="none"/>
        </w:rPr>
        <w:t>走出去</w:t>
      </w:r>
      <w:r>
        <w:rPr>
          <w:rFonts w:hint="eastAsia" w:cs="Times New Roman"/>
          <w:b w:val="0"/>
          <w:color w:val="auto"/>
          <w:sz w:val="32"/>
          <w:szCs w:val="32"/>
          <w:highlight w:val="none"/>
          <w:u w:val="none"/>
          <w:lang w:eastAsia="zh-CN"/>
        </w:rPr>
        <w:t>”</w:t>
      </w:r>
      <w:r>
        <w:rPr>
          <w:rFonts w:hint="eastAsia" w:ascii="Times New Roman" w:hAnsi="Times New Roman" w:eastAsia="仿宋_GB2312" w:cs="Times New Roman"/>
          <w:b w:val="0"/>
          <w:color w:val="auto"/>
          <w:sz w:val="32"/>
          <w:szCs w:val="32"/>
          <w:highlight w:val="none"/>
          <w:u w:val="none"/>
        </w:rPr>
        <w:t>服务联盟</w:t>
      </w:r>
      <w:r>
        <w:rPr>
          <w:rFonts w:hint="eastAsia" w:cs="Times New Roman"/>
          <w:b w:val="0"/>
          <w:color w:val="auto"/>
          <w:sz w:val="32"/>
          <w:szCs w:val="32"/>
          <w:highlight w:val="none"/>
          <w:lang w:eastAsia="zh-CN"/>
        </w:rPr>
        <w:t>，</w:t>
      </w:r>
      <w:r>
        <w:rPr>
          <w:rFonts w:hint="eastAsia" w:eastAsia="仿宋_GB2312"/>
          <w:color w:val="auto"/>
          <w:kern w:val="0"/>
          <w:sz w:val="32"/>
          <w:szCs w:val="32"/>
          <w:highlight w:val="none"/>
          <w:lang w:bidi="ar"/>
        </w:rPr>
        <w:t>遴选一批专业服务机构，构建系统集成的出海专业服务矩阵，为企业提供国别指引、跨境资金、风险管理、人力资源、知识产权、商事调解等领域服务</w:t>
      </w:r>
      <w:r>
        <w:rPr>
          <w:rFonts w:hint="eastAsia"/>
          <w:color w:val="auto"/>
          <w:szCs w:val="32"/>
          <w:highlight w:val="none"/>
        </w:rPr>
        <w:t>，做优做强朝阳出海服务品牌。</w:t>
      </w:r>
    </w:p>
    <w:p w14:paraId="6FD824C4">
      <w:pPr>
        <w:spacing w:line="560" w:lineRule="exact"/>
        <w:ind w:firstLine="643" w:firstLineChars="200"/>
        <w:rPr>
          <w:b/>
          <w:bCs/>
          <w:color w:val="auto"/>
          <w:szCs w:val="32"/>
          <w:highlight w:val="none"/>
        </w:rPr>
      </w:pPr>
      <w:r>
        <w:rPr>
          <w:rFonts w:hint="eastAsia"/>
          <w:b/>
          <w:bCs/>
          <w:color w:val="auto"/>
          <w:szCs w:val="32"/>
          <w:highlight w:val="none"/>
        </w:rPr>
        <w:t>支持重点行业领域拓展海外市场。</w:t>
      </w:r>
      <w:r>
        <w:rPr>
          <w:rFonts w:hint="eastAsia"/>
          <w:color w:val="auto"/>
          <w:szCs w:val="32"/>
          <w:highlight w:val="none"/>
        </w:rPr>
        <w:t>聚焦重点国别以及科技、文化等重点领域，开展企业出海活动，打造“Chao Global”企业出海</w:t>
      </w:r>
      <w:r>
        <w:rPr>
          <w:rFonts w:hint="eastAsia"/>
          <w:color w:val="auto"/>
          <w:szCs w:val="32"/>
          <w:highlight w:val="none"/>
          <w:lang w:val="en-US" w:eastAsia="zh-CN"/>
        </w:rPr>
        <w:t>品牌。</w:t>
      </w:r>
      <w:r>
        <w:rPr>
          <w:rFonts w:hint="eastAsia"/>
          <w:color w:val="auto"/>
          <w:szCs w:val="32"/>
          <w:highlight w:val="none"/>
        </w:rPr>
        <w:t>深化科技企业出海品牌活动，举办</w:t>
      </w:r>
      <w:r>
        <w:rPr>
          <w:rFonts w:hint="eastAsia"/>
          <w:color w:val="auto"/>
          <w:szCs w:val="32"/>
          <w:highlight w:val="none"/>
          <w:lang w:eastAsia="zh-CN"/>
        </w:rPr>
        <w:t>“</w:t>
      </w:r>
      <w:r>
        <w:rPr>
          <w:rFonts w:hint="eastAsia"/>
          <w:color w:val="auto"/>
          <w:szCs w:val="32"/>
          <w:highlight w:val="none"/>
        </w:rPr>
        <w:t>走进国家</w:t>
      </w:r>
      <w:r>
        <w:rPr>
          <w:rFonts w:hint="eastAsia"/>
          <w:color w:val="auto"/>
          <w:szCs w:val="32"/>
          <w:highlight w:val="none"/>
          <w:lang w:eastAsia="zh-CN"/>
        </w:rPr>
        <w:t>”“</w:t>
      </w:r>
      <w:r>
        <w:rPr>
          <w:rFonts w:hint="eastAsia"/>
          <w:color w:val="auto"/>
          <w:szCs w:val="32"/>
          <w:highlight w:val="none"/>
        </w:rPr>
        <w:t>绿色发展会客厅</w:t>
      </w:r>
      <w:r>
        <w:rPr>
          <w:rFonts w:hint="eastAsia"/>
          <w:color w:val="auto"/>
          <w:szCs w:val="32"/>
          <w:highlight w:val="none"/>
          <w:lang w:eastAsia="zh-CN"/>
        </w:rPr>
        <w:t>”</w:t>
      </w:r>
      <w:r>
        <w:rPr>
          <w:rFonts w:hint="eastAsia"/>
          <w:color w:val="auto"/>
          <w:szCs w:val="32"/>
          <w:highlight w:val="none"/>
        </w:rPr>
        <w:t>等系列活动，为科技企业提供更精准的国际技术交流与合作机会。</w:t>
      </w:r>
      <w:r>
        <w:rPr>
          <w:rFonts w:hint="eastAsia" w:ascii="Times New Roman" w:hAnsi="Times New Roman" w:eastAsia="仿宋_GB2312" w:cs="Times New Roman"/>
          <w:color w:val="auto"/>
          <w:kern w:val="2"/>
          <w:sz w:val="32"/>
          <w:szCs w:val="32"/>
          <w:highlight w:val="none"/>
          <w:lang w:val="en-US" w:eastAsia="zh-CN" w:bidi="ar"/>
        </w:rPr>
        <w:t>落实</w:t>
      </w:r>
      <w:r>
        <w:rPr>
          <w:rFonts w:hint="eastAsia" w:cs="Times New Roman"/>
          <w:color w:val="auto"/>
          <w:kern w:val="2"/>
          <w:sz w:val="32"/>
          <w:szCs w:val="32"/>
          <w:highlight w:val="none"/>
          <w:lang w:val="en-US" w:eastAsia="zh-CN" w:bidi="ar"/>
        </w:rPr>
        <w:t>“</w:t>
      </w:r>
      <w:r>
        <w:rPr>
          <w:rFonts w:hint="eastAsia" w:ascii="Times New Roman" w:hAnsi="Times New Roman" w:eastAsia="仿宋_GB2312" w:cs="Times New Roman"/>
          <w:color w:val="auto"/>
          <w:kern w:val="2"/>
          <w:sz w:val="32"/>
          <w:szCs w:val="32"/>
          <w:highlight w:val="none"/>
          <w:lang w:val="en-US" w:eastAsia="zh-CN" w:bidi="ar"/>
        </w:rPr>
        <w:t>千帆出海行动</w:t>
      </w:r>
      <w:r>
        <w:rPr>
          <w:rFonts w:hint="eastAsia" w:cs="Times New Roman"/>
          <w:color w:val="auto"/>
          <w:kern w:val="2"/>
          <w:sz w:val="32"/>
          <w:szCs w:val="32"/>
          <w:highlight w:val="none"/>
          <w:lang w:val="en-US" w:eastAsia="zh-CN" w:bidi="ar"/>
        </w:rPr>
        <w:t>”</w:t>
      </w:r>
      <w:r>
        <w:rPr>
          <w:rFonts w:hint="eastAsia" w:ascii="Times New Roman" w:hAnsi="Times New Roman" w:eastAsia="仿宋_GB2312" w:cs="Times New Roman"/>
          <w:color w:val="auto"/>
          <w:kern w:val="2"/>
          <w:sz w:val="32"/>
          <w:szCs w:val="32"/>
          <w:highlight w:val="none"/>
          <w:lang w:val="en-US" w:eastAsia="zh-CN" w:bidi="ar"/>
        </w:rPr>
        <w:t>，</w:t>
      </w:r>
      <w:r>
        <w:rPr>
          <w:rFonts w:hint="eastAsia"/>
          <w:b w:val="0"/>
          <w:bCs w:val="0"/>
          <w:color w:val="auto"/>
          <w:szCs w:val="32"/>
          <w:highlight w:val="none"/>
        </w:rPr>
        <w:t>重点培育一批出口领军企业</w:t>
      </w:r>
      <w:r>
        <w:rPr>
          <w:rFonts w:hint="eastAsia"/>
          <w:b w:val="0"/>
          <w:bCs w:val="0"/>
          <w:color w:val="auto"/>
          <w:szCs w:val="32"/>
          <w:highlight w:val="none"/>
          <w:lang w:eastAsia="zh-CN"/>
        </w:rPr>
        <w:t>，</w:t>
      </w:r>
      <w:r>
        <w:rPr>
          <w:rFonts w:hint="eastAsia"/>
          <w:color w:val="auto"/>
          <w:szCs w:val="32"/>
          <w:highlight w:val="none"/>
        </w:rPr>
        <w:t>推动网络游戏、网络文学、影视、微短剧、潮玩文创等</w:t>
      </w:r>
      <w:r>
        <w:rPr>
          <w:rFonts w:hint="eastAsia"/>
          <w:color w:val="auto"/>
          <w:szCs w:val="32"/>
          <w:highlight w:val="none"/>
          <w:lang w:eastAsia="zh-CN"/>
        </w:rPr>
        <w:t>文化领域</w:t>
      </w:r>
      <w:r>
        <w:rPr>
          <w:rFonts w:hint="eastAsia"/>
          <w:color w:val="auto"/>
          <w:szCs w:val="32"/>
          <w:highlight w:val="none"/>
        </w:rPr>
        <w:t>优秀作品走出国门，拓展文化出海新赛道</w:t>
      </w:r>
      <w:r>
        <w:rPr>
          <w:rFonts w:hint="eastAsia"/>
          <w:color w:val="auto"/>
          <w:szCs w:val="32"/>
          <w:highlight w:val="none"/>
          <w:lang w:eastAsia="zh-CN"/>
        </w:rPr>
        <w:t>。</w:t>
      </w:r>
      <w:r>
        <w:rPr>
          <w:rFonts w:hint="eastAsia"/>
          <w:color w:val="auto"/>
          <w:szCs w:val="32"/>
          <w:highlight w:val="none"/>
        </w:rPr>
        <w:t>支持金融、咨询、设计等专业服务机构及餐饮等生活服务提供商拓展海外市场。</w:t>
      </w:r>
    </w:p>
    <w:p w14:paraId="41A3DAFF">
      <w:pPr>
        <w:widowControl/>
        <w:spacing w:line="560" w:lineRule="exact"/>
        <w:ind w:firstLine="643" w:firstLineChars="200"/>
        <w:jc w:val="both"/>
        <w:rPr>
          <w:rFonts w:hint="eastAsia"/>
          <w:color w:val="auto"/>
          <w:szCs w:val="32"/>
          <w:highlight w:val="none"/>
        </w:rPr>
      </w:pPr>
      <w:r>
        <w:rPr>
          <w:rFonts w:hint="eastAsia"/>
          <w:b/>
          <w:bCs/>
          <w:color w:val="auto"/>
          <w:szCs w:val="32"/>
          <w:highlight w:val="none"/>
        </w:rPr>
        <w:t>健全海外服务网络。</w:t>
      </w:r>
      <w:r>
        <w:rPr>
          <w:rFonts w:hint="eastAsia"/>
          <w:b w:val="0"/>
          <w:bCs w:val="0"/>
          <w:color w:val="auto"/>
          <w:szCs w:val="32"/>
          <w:highlight w:val="none"/>
        </w:rPr>
        <w:t>依托使馆、国际组织、商协会、央企国企、金融机构等具备海外资源的机构，</w:t>
      </w:r>
      <w:r>
        <w:rPr>
          <w:rFonts w:ascii="Times New Roman"/>
          <w:color w:val="auto"/>
          <w:szCs w:val="32"/>
          <w:highlight w:val="none"/>
        </w:rPr>
        <w:t>在欧洲、东南亚、北美、中东等重点区域，</w:t>
      </w:r>
      <w:r>
        <w:rPr>
          <w:rFonts w:hint="eastAsia"/>
          <w:b w:val="0"/>
          <w:bCs w:val="0"/>
          <w:color w:val="auto"/>
          <w:szCs w:val="32"/>
          <w:highlight w:val="none"/>
        </w:rPr>
        <w:t>构建布局合理、覆盖广泛的海外服务网络，为出海企业提供持续服务。</w:t>
      </w:r>
      <w:r>
        <w:rPr>
          <w:rFonts w:hint="eastAsia" w:cs="仿宋_GB2312"/>
          <w:color w:val="auto"/>
          <w:szCs w:val="32"/>
          <w:highlight w:val="none"/>
        </w:rPr>
        <w:t>推动</w:t>
      </w:r>
      <w:r>
        <w:rPr>
          <w:rFonts w:hint="eastAsia"/>
          <w:color w:val="auto"/>
        </w:rPr>
        <w:t>北京C</w:t>
      </w:r>
      <w:r>
        <w:rPr>
          <w:color w:val="auto"/>
        </w:rPr>
        <w:t>BD</w:t>
      </w:r>
      <w:r>
        <w:rPr>
          <w:rFonts w:hint="eastAsia" w:cs="Times New Roman"/>
          <w:color w:val="auto"/>
          <w:szCs w:val="32"/>
          <w:highlight w:val="none"/>
        </w:rPr>
        <w:t>全球商务科技联络站</w:t>
      </w:r>
      <w:r>
        <w:rPr>
          <w:rFonts w:hint="eastAsia" w:cs="仿宋_GB2312"/>
          <w:color w:val="auto"/>
          <w:szCs w:val="32"/>
          <w:highlight w:val="none"/>
        </w:rPr>
        <w:t>、“雨燕行动”国际科技服务站等拓展“走出去”</w:t>
      </w:r>
      <w:r>
        <w:rPr>
          <w:rFonts w:hint="eastAsia" w:cs="仿宋_GB2312"/>
          <w:color w:val="auto"/>
          <w:szCs w:val="32"/>
          <w:highlight w:val="none"/>
          <w:lang w:val="en-US" w:eastAsia="zh-CN"/>
        </w:rPr>
        <w:t>服务功能</w:t>
      </w:r>
      <w:r>
        <w:rPr>
          <w:rFonts w:hint="eastAsia" w:cs="仿宋_GB2312"/>
          <w:color w:val="auto"/>
          <w:szCs w:val="32"/>
          <w:highlight w:val="none"/>
        </w:rPr>
        <w:t>，打造朝阳企业海外“根据地”。</w:t>
      </w:r>
      <w:r>
        <w:rPr>
          <w:rFonts w:hint="eastAsia"/>
          <w:color w:val="auto"/>
          <w:szCs w:val="32"/>
          <w:highlight w:val="none"/>
        </w:rPr>
        <w:t>支持人力资源服务机构建设海外服务站点，开拓海外人力资源服务市场。</w:t>
      </w:r>
      <w:r>
        <w:rPr>
          <w:rFonts w:hint="eastAsia" w:eastAsia="仿宋_GB2312"/>
          <w:color w:val="auto"/>
          <w:kern w:val="0"/>
          <w:sz w:val="32"/>
          <w:szCs w:val="32"/>
          <w:highlight w:val="none"/>
          <w:lang w:bidi="ar"/>
        </w:rPr>
        <w:t>发挥涉外资源集聚优势，积极与驻华使馆、国际组织举办政策</w:t>
      </w:r>
      <w:r>
        <w:rPr>
          <w:rFonts w:hint="eastAsia"/>
          <w:color w:val="auto"/>
          <w:kern w:val="0"/>
          <w:sz w:val="32"/>
          <w:szCs w:val="32"/>
          <w:highlight w:val="none"/>
          <w:lang w:eastAsia="zh-CN" w:bidi="ar"/>
        </w:rPr>
        <w:t>宣传</w:t>
      </w:r>
      <w:r>
        <w:rPr>
          <w:rFonts w:hint="eastAsia" w:eastAsia="仿宋_GB2312"/>
          <w:color w:val="auto"/>
          <w:kern w:val="0"/>
          <w:sz w:val="32"/>
          <w:szCs w:val="32"/>
          <w:highlight w:val="none"/>
          <w:lang w:bidi="ar"/>
        </w:rPr>
        <w:t>、专项对接等活动，助力企业洞悉海外政策与市场环境。</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3995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741998D7">
            <w:pPr>
              <w:pStyle w:val="36"/>
              <w:spacing w:after="160"/>
              <w:rPr>
                <w:rFonts w:hint="default" w:eastAsiaTheme="minorEastAsia"/>
                <w:color w:val="auto"/>
                <w:highlight w:val="none"/>
              </w:rPr>
            </w:pPr>
            <w:bookmarkStart w:id="100" w:name="_Toc8793"/>
            <w:r>
              <w:rPr>
                <w:color w:val="auto"/>
                <w:highlight w:val="none"/>
              </w:rPr>
              <w:t>专栏</w:t>
            </w:r>
            <w:r>
              <w:rPr>
                <w:rFonts w:hint="eastAsia"/>
                <w:color w:val="auto"/>
                <w:highlight w:val="none"/>
                <w:lang w:val="en-US" w:eastAsia="zh-CN"/>
              </w:rPr>
              <w:t>9</w:t>
            </w:r>
            <w:r>
              <w:rPr>
                <w:color w:val="auto"/>
                <w:highlight w:val="none"/>
              </w:rPr>
              <w:t xml:space="preserve"> 双向投资合作促进行动</w:t>
            </w:r>
            <w:bookmarkEnd w:id="100"/>
          </w:p>
        </w:tc>
      </w:tr>
      <w:tr w14:paraId="2400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0662FF7A">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 xml:space="preserve"> </w:t>
            </w:r>
            <w:r>
              <w:rPr>
                <w:rFonts w:eastAsia="楷体_GB2312"/>
                <w:color w:val="auto"/>
                <w:kern w:val="0"/>
                <w:sz w:val="28"/>
                <w:szCs w:val="28"/>
                <w:highlight w:val="none"/>
              </w:rPr>
              <w:t>CBD招商服务中心</w:t>
            </w:r>
          </w:p>
          <w:p w14:paraId="672F08BF">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优化现有CBD招商服务中心功能，推进</w:t>
            </w:r>
            <w:r>
              <w:rPr>
                <w:rFonts w:hint="eastAsia"/>
                <w:color w:val="auto"/>
                <w:kern w:val="0"/>
                <w:sz w:val="28"/>
                <w:szCs w:val="28"/>
                <w:highlight w:val="none"/>
                <w:lang w:eastAsia="zh-CN"/>
              </w:rPr>
              <w:t>“</w:t>
            </w:r>
            <w:r>
              <w:rPr>
                <w:rFonts w:hint="eastAsia"/>
                <w:color w:val="auto"/>
                <w:kern w:val="0"/>
                <w:sz w:val="28"/>
                <w:szCs w:val="28"/>
                <w:highlight w:val="none"/>
              </w:rPr>
              <w:t>一门一窗一次</w:t>
            </w:r>
            <w:r>
              <w:rPr>
                <w:rFonts w:hint="eastAsia"/>
                <w:color w:val="auto"/>
                <w:kern w:val="0"/>
                <w:sz w:val="28"/>
                <w:szCs w:val="28"/>
                <w:highlight w:val="none"/>
                <w:lang w:eastAsia="zh-CN"/>
              </w:rPr>
              <w:t>”</w:t>
            </w:r>
            <w:r>
              <w:rPr>
                <w:rFonts w:hint="eastAsia"/>
                <w:color w:val="auto"/>
                <w:kern w:val="0"/>
                <w:sz w:val="28"/>
                <w:szCs w:val="28"/>
                <w:highlight w:val="none"/>
              </w:rPr>
              <w:t>迭代升级，推动</w:t>
            </w:r>
            <w:r>
              <w:rPr>
                <w:rFonts w:hint="eastAsia"/>
                <w:color w:val="auto"/>
                <w:kern w:val="0"/>
                <w:sz w:val="28"/>
                <w:szCs w:val="28"/>
                <w:highlight w:val="none"/>
                <w:lang w:eastAsia="zh-CN"/>
              </w:rPr>
              <w:t>“</w:t>
            </w:r>
            <w:r>
              <w:rPr>
                <w:rFonts w:hint="eastAsia"/>
                <w:color w:val="auto"/>
                <w:kern w:val="0"/>
                <w:sz w:val="28"/>
                <w:szCs w:val="28"/>
                <w:highlight w:val="none"/>
              </w:rPr>
              <w:t>一件事一次办</w:t>
            </w:r>
            <w:r>
              <w:rPr>
                <w:rFonts w:hint="eastAsia"/>
                <w:color w:val="auto"/>
                <w:kern w:val="0"/>
                <w:sz w:val="28"/>
                <w:szCs w:val="28"/>
                <w:highlight w:val="none"/>
                <w:lang w:eastAsia="zh-CN"/>
              </w:rPr>
              <w:t>”</w:t>
            </w:r>
            <w:r>
              <w:rPr>
                <w:rFonts w:hint="eastAsia"/>
                <w:color w:val="auto"/>
                <w:kern w:val="0"/>
                <w:sz w:val="28"/>
                <w:szCs w:val="28"/>
                <w:highlight w:val="none"/>
              </w:rPr>
              <w:t>集成服务。持续推进</w:t>
            </w:r>
            <w:r>
              <w:rPr>
                <w:rFonts w:hint="eastAsia"/>
                <w:color w:val="auto"/>
                <w:kern w:val="0"/>
                <w:sz w:val="28"/>
                <w:szCs w:val="28"/>
                <w:highlight w:val="none"/>
                <w:lang w:eastAsia="zh-CN"/>
              </w:rPr>
              <w:t>“</w:t>
            </w:r>
            <w:r>
              <w:rPr>
                <w:rFonts w:hint="eastAsia"/>
                <w:color w:val="auto"/>
                <w:kern w:val="0"/>
                <w:sz w:val="28"/>
                <w:szCs w:val="28"/>
                <w:highlight w:val="none"/>
              </w:rPr>
              <w:t>总部成长计划</w:t>
            </w:r>
            <w:r>
              <w:rPr>
                <w:rFonts w:hint="eastAsia"/>
                <w:color w:val="auto"/>
                <w:kern w:val="0"/>
                <w:sz w:val="28"/>
                <w:szCs w:val="28"/>
                <w:highlight w:val="none"/>
                <w:lang w:eastAsia="zh-CN"/>
              </w:rPr>
              <w:t>”</w:t>
            </w:r>
            <w:r>
              <w:rPr>
                <w:rFonts w:hint="eastAsia"/>
                <w:color w:val="auto"/>
                <w:kern w:val="0"/>
                <w:sz w:val="28"/>
                <w:szCs w:val="28"/>
                <w:highlight w:val="none"/>
              </w:rPr>
              <w:t>，</w:t>
            </w:r>
            <w:r>
              <w:rPr>
                <w:rFonts w:hint="eastAsia"/>
                <w:color w:val="auto"/>
                <w:kern w:val="0"/>
                <w:sz w:val="28"/>
                <w:szCs w:val="28"/>
                <w:highlight w:val="none"/>
                <w:lang w:eastAsia="zh-CN"/>
              </w:rPr>
              <w:t>修订</w:t>
            </w:r>
            <w:r>
              <w:rPr>
                <w:rFonts w:hint="eastAsia"/>
                <w:color w:val="auto"/>
                <w:kern w:val="0"/>
                <w:sz w:val="28"/>
                <w:szCs w:val="28"/>
                <w:highlight w:val="none"/>
              </w:rPr>
              <w:t>完善总部企业支持政策。依托北京CBD外资综合服务站，强化对外资企业集成性、专业化服务，打造</w:t>
            </w:r>
            <w:r>
              <w:rPr>
                <w:rFonts w:hint="eastAsia"/>
                <w:color w:val="auto"/>
                <w:kern w:val="0"/>
                <w:sz w:val="28"/>
                <w:szCs w:val="28"/>
                <w:highlight w:val="none"/>
                <w:lang w:eastAsia="zh-CN"/>
              </w:rPr>
              <w:t>“</w:t>
            </w:r>
            <w:r>
              <w:rPr>
                <w:rFonts w:hint="eastAsia"/>
                <w:color w:val="auto"/>
                <w:kern w:val="0"/>
                <w:sz w:val="28"/>
                <w:szCs w:val="28"/>
                <w:highlight w:val="none"/>
              </w:rPr>
              <w:t>外资进入中国第一站</w:t>
            </w:r>
            <w:r>
              <w:rPr>
                <w:rFonts w:hint="eastAsia"/>
                <w:color w:val="auto"/>
                <w:kern w:val="0"/>
                <w:sz w:val="28"/>
                <w:szCs w:val="28"/>
                <w:highlight w:val="none"/>
                <w:lang w:eastAsia="zh-CN"/>
              </w:rPr>
              <w:t>”</w:t>
            </w:r>
            <w:r>
              <w:rPr>
                <w:rFonts w:hint="eastAsia"/>
                <w:color w:val="auto"/>
                <w:kern w:val="0"/>
                <w:sz w:val="28"/>
                <w:szCs w:val="28"/>
                <w:highlight w:val="none"/>
              </w:rPr>
              <w:t>。</w:t>
            </w:r>
          </w:p>
        </w:tc>
      </w:tr>
      <w:tr w14:paraId="4C07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7E68D6D3">
            <w:pPr>
              <w:adjustRightInd w:val="0"/>
              <w:snapToGrid w:val="0"/>
              <w:spacing w:after="0" w:line="380" w:lineRule="exact"/>
              <w:rPr>
                <w:rFonts w:eastAsia="楷体_GB2312"/>
                <w:color w:val="auto"/>
                <w:kern w:val="0"/>
                <w:sz w:val="28"/>
                <w:szCs w:val="28"/>
                <w:highlight w:val="none"/>
              </w:rPr>
            </w:pPr>
            <w:r>
              <w:rPr>
                <w:rFonts w:hint="eastAsia" w:eastAsia="楷体_GB2312"/>
                <w:color w:val="auto"/>
                <w:kern w:val="0"/>
                <w:sz w:val="28"/>
                <w:szCs w:val="28"/>
                <w:highlight w:val="none"/>
              </w:rPr>
              <w:t>02北京CBD全球商务科技联络站</w:t>
            </w:r>
          </w:p>
          <w:p w14:paraId="075269DB">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完善</w:t>
            </w:r>
            <w:r>
              <w:rPr>
                <w:color w:val="auto"/>
                <w:kern w:val="0"/>
                <w:sz w:val="28"/>
                <w:szCs w:val="28"/>
                <w:highlight w:val="none"/>
              </w:rPr>
              <w:t>上海、广州、深圳、中国香港、新加坡、中东、德国、英国</w:t>
            </w:r>
            <w:r>
              <w:rPr>
                <w:rFonts w:hint="eastAsia"/>
                <w:color w:val="auto"/>
                <w:kern w:val="0"/>
                <w:sz w:val="28"/>
                <w:szCs w:val="28"/>
                <w:highlight w:val="none"/>
              </w:rPr>
              <w:t>等北京CBD全球商务科技联络站点服务体系，持续扩大全球招商版图，密织北京CBD全球商务科技联络站网络。同时以联络</w:t>
            </w:r>
            <w:r>
              <w:rPr>
                <w:rFonts w:hint="eastAsia"/>
                <w:color w:val="auto"/>
                <w:kern w:val="0"/>
                <w:sz w:val="28"/>
                <w:szCs w:val="28"/>
                <w:highlight w:val="none"/>
                <w:lang w:eastAsia="zh-CN"/>
              </w:rPr>
              <w:t>站为</w:t>
            </w:r>
            <w:r>
              <w:rPr>
                <w:rFonts w:hint="eastAsia"/>
                <w:color w:val="auto"/>
                <w:kern w:val="0"/>
                <w:sz w:val="28"/>
                <w:szCs w:val="28"/>
                <w:highlight w:val="none"/>
              </w:rPr>
              <w:t>依托，动态跟踪总部或分支机构在朝阳的企业出海情况，积极协调解决企业出海过程中遇到的问题和困难，打造朝阳企业在海外</w:t>
            </w:r>
            <w:r>
              <w:rPr>
                <w:rFonts w:hint="eastAsia"/>
                <w:color w:val="auto"/>
                <w:kern w:val="0"/>
                <w:sz w:val="28"/>
                <w:szCs w:val="28"/>
                <w:highlight w:val="none"/>
                <w:lang w:eastAsia="zh-CN"/>
              </w:rPr>
              <w:t>“</w:t>
            </w:r>
            <w:r>
              <w:rPr>
                <w:rFonts w:hint="eastAsia"/>
                <w:color w:val="auto"/>
                <w:kern w:val="0"/>
                <w:sz w:val="28"/>
                <w:szCs w:val="28"/>
                <w:highlight w:val="none"/>
              </w:rPr>
              <w:t>根据地</w:t>
            </w:r>
            <w:r>
              <w:rPr>
                <w:rFonts w:hint="eastAsia"/>
                <w:color w:val="auto"/>
                <w:kern w:val="0"/>
                <w:sz w:val="28"/>
                <w:szCs w:val="28"/>
                <w:highlight w:val="none"/>
                <w:lang w:eastAsia="zh-CN"/>
              </w:rPr>
              <w:t>”</w:t>
            </w:r>
            <w:r>
              <w:rPr>
                <w:rFonts w:hint="eastAsia"/>
                <w:color w:val="auto"/>
                <w:kern w:val="0"/>
                <w:sz w:val="28"/>
                <w:szCs w:val="28"/>
                <w:highlight w:val="none"/>
              </w:rPr>
              <w:t>。</w:t>
            </w:r>
          </w:p>
        </w:tc>
      </w:tr>
      <w:tr w14:paraId="3193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13EFDC4">
            <w:pPr>
              <w:adjustRightInd w:val="0"/>
              <w:snapToGrid w:val="0"/>
              <w:spacing w:after="0" w:line="380" w:lineRule="exact"/>
              <w:ind w:left="0" w:leftChars="0"/>
              <w:jc w:val="left"/>
              <w:rPr>
                <w:rFonts w:eastAsia="楷体_GB2312"/>
                <w:color w:val="auto"/>
                <w:kern w:val="0"/>
                <w:sz w:val="28"/>
                <w:szCs w:val="28"/>
                <w:highlight w:val="none"/>
              </w:rPr>
            </w:pPr>
            <w:r>
              <w:rPr>
                <w:rFonts w:hint="eastAsia" w:eastAsia="楷体_GB2312"/>
                <w:color w:val="auto"/>
                <w:kern w:val="0"/>
                <w:sz w:val="28"/>
                <w:szCs w:val="28"/>
                <w:highlight w:val="none"/>
              </w:rPr>
              <w:t>03企业出海</w:t>
            </w:r>
            <w:r>
              <w:rPr>
                <w:rFonts w:hint="eastAsia" w:eastAsia="楷体_GB2312"/>
                <w:color w:val="auto"/>
                <w:kern w:val="0"/>
                <w:sz w:val="28"/>
                <w:szCs w:val="28"/>
                <w:highlight w:val="none"/>
                <w:lang w:val="en-US" w:eastAsia="zh-CN"/>
              </w:rPr>
              <w:t>一站式服务平台</w:t>
            </w:r>
          </w:p>
          <w:p w14:paraId="533B1608">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lang w:val="en-US" w:eastAsia="zh-CN"/>
              </w:rPr>
              <w:t>构建线上线下深度融合的出海综合服务体系，线上建设集成化、综合化、数智化“朝阳区企业‘走出去’综合服务平台”，汇集政策、法律、财税等商业资源及活动信息，打造企业出海全流程、全链条信息窗口；线下依托CBD会客厅和数字经济国际科技合作基地，打造“一南一北”企业全球化赋能中心，提供涵盖境外投资备案指导、政策咨询、专业资源对接等综合性服务。</w:t>
            </w:r>
          </w:p>
        </w:tc>
      </w:tr>
    </w:tbl>
    <w:p w14:paraId="24A4F2A8">
      <w:pPr>
        <w:widowControl/>
        <w:spacing w:line="560" w:lineRule="exact"/>
        <w:ind w:firstLine="640" w:firstLineChars="200"/>
        <w:jc w:val="left"/>
        <w:rPr>
          <w:rFonts w:eastAsia="黑体"/>
          <w:color w:val="auto"/>
          <w:szCs w:val="32"/>
          <w:highlight w:val="none"/>
        </w:rPr>
      </w:pPr>
      <w:r>
        <w:rPr>
          <w:rFonts w:hint="eastAsia" w:eastAsia="黑体"/>
          <w:color w:val="auto"/>
          <w:szCs w:val="32"/>
          <w:highlight w:val="none"/>
        </w:rPr>
        <w:br w:type="page"/>
      </w:r>
    </w:p>
    <w:p w14:paraId="3A358EC2">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101" w:name="_Toc14944"/>
      <w:bookmarkStart w:id="102" w:name="_Toc8450"/>
      <w:bookmarkStart w:id="103" w:name="_Toc20408"/>
      <w:bookmarkStart w:id="104" w:name="_Toc7326"/>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六</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 xml:space="preserve">迭代升级改革举措 </w:t>
      </w:r>
      <w:r>
        <w:rPr>
          <w:rFonts w:hint="eastAsia" w:ascii="Times New Roman" w:hAnsi="Times New Roman" w:eastAsia="方正小标宋简体" w:cs="Times New Roman"/>
          <w:color w:val="auto"/>
          <w:kern w:val="44"/>
          <w:sz w:val="36"/>
          <w:szCs w:val="36"/>
          <w:highlight w:val="none"/>
        </w:rPr>
        <w:t>建设国际一流营商环境</w:t>
      </w:r>
      <w:bookmarkEnd w:id="101"/>
      <w:bookmarkEnd w:id="102"/>
      <w:bookmarkEnd w:id="103"/>
      <w:bookmarkEnd w:id="104"/>
    </w:p>
    <w:p w14:paraId="434543E4">
      <w:pPr>
        <w:spacing w:line="560" w:lineRule="exact"/>
        <w:ind w:firstLine="640" w:firstLineChars="200"/>
        <w:rPr>
          <w:color w:val="auto"/>
          <w:szCs w:val="32"/>
          <w:highlight w:val="none"/>
        </w:rPr>
      </w:pPr>
      <w:r>
        <w:rPr>
          <w:rFonts w:hint="eastAsia"/>
          <w:color w:val="auto"/>
          <w:szCs w:val="32"/>
          <w:highlight w:val="none"/>
          <w:lang w:val="en-US" w:eastAsia="zh-CN"/>
        </w:rPr>
        <w:t>坚持对标改革，</w:t>
      </w:r>
      <w:r>
        <w:rPr>
          <w:color w:val="auto"/>
          <w:szCs w:val="32"/>
          <w:highlight w:val="none"/>
        </w:rPr>
        <w:t>进一步提升国际化政务服务水平，优化涉外法律、人才等服务环境，积极构建更加自由便利的外商投资服务环境和外籍人员生活工作环境，</w:t>
      </w:r>
      <w:r>
        <w:rPr>
          <w:rFonts w:hint="eastAsia"/>
          <w:color w:val="auto"/>
          <w:szCs w:val="32"/>
          <w:highlight w:val="none"/>
          <w:lang w:val="en-US" w:eastAsia="zh-CN"/>
        </w:rPr>
        <w:t>深化</w:t>
      </w:r>
      <w:r>
        <w:rPr>
          <w:color w:val="auto"/>
          <w:szCs w:val="32"/>
          <w:highlight w:val="none"/>
        </w:rPr>
        <w:t>国际一流营商环境</w:t>
      </w:r>
      <w:r>
        <w:rPr>
          <w:rFonts w:hint="eastAsia"/>
          <w:color w:val="auto"/>
          <w:szCs w:val="32"/>
          <w:highlight w:val="none"/>
          <w:lang w:val="en-US" w:eastAsia="zh-CN"/>
        </w:rPr>
        <w:t>标杆区建设</w:t>
      </w:r>
      <w:r>
        <w:rPr>
          <w:color w:val="auto"/>
          <w:szCs w:val="32"/>
          <w:highlight w:val="none"/>
        </w:rPr>
        <w:t>。</w:t>
      </w:r>
    </w:p>
    <w:p w14:paraId="18977CB4">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05" w:name="_Toc21740"/>
      <w:bookmarkStart w:id="106" w:name="_Toc28978"/>
      <w:bookmarkStart w:id="107" w:name="_Toc28854"/>
      <w:bookmarkStart w:id="108" w:name="_Toc13444"/>
      <w:r>
        <w:rPr>
          <w:rFonts w:hint="eastAsia" w:ascii="Times New Roman" w:hAnsi="Times New Roman" w:eastAsia="黑体" w:cs="黑体"/>
          <w:color w:val="auto"/>
          <w:sz w:val="32"/>
          <w:szCs w:val="32"/>
          <w:highlight w:val="none"/>
          <w:lang w:val="en-US" w:eastAsia="zh-CN"/>
        </w:rPr>
        <w:t>第一节 优化国际化政务服务环境</w:t>
      </w:r>
      <w:bookmarkEnd w:id="105"/>
      <w:bookmarkEnd w:id="106"/>
      <w:bookmarkEnd w:id="107"/>
      <w:bookmarkEnd w:id="108"/>
    </w:p>
    <w:p w14:paraId="0E322012">
      <w:pPr>
        <w:spacing w:line="560" w:lineRule="exact"/>
        <w:ind w:firstLine="643" w:firstLineChars="200"/>
        <w:rPr>
          <w:color w:val="auto"/>
          <w:szCs w:val="32"/>
          <w:highlight w:val="none"/>
        </w:rPr>
      </w:pPr>
      <w:r>
        <w:rPr>
          <w:rFonts w:hint="eastAsia"/>
          <w:b/>
          <w:bCs/>
          <w:color w:val="auto"/>
          <w:szCs w:val="32"/>
          <w:highlight w:val="none"/>
        </w:rPr>
        <w:t>提升涉外政务服务办事体验。</w:t>
      </w:r>
      <w:r>
        <w:rPr>
          <w:rFonts w:hint="eastAsia"/>
          <w:color w:val="auto"/>
          <w:szCs w:val="32"/>
          <w:highlight w:val="none"/>
        </w:rPr>
        <w:t>优化政务大厅国际化服务环境，打造国际友好型办事空间，提升外国人办事体验。</w:t>
      </w:r>
      <w:r>
        <w:rPr>
          <w:color w:val="auto"/>
          <w:szCs w:val="32"/>
          <w:highlight w:val="none"/>
          <w:shd w:val="clear" w:color="auto" w:fill="FFFFFF"/>
        </w:rPr>
        <w:t>推进政务服务全流程改革，在更多领域和更大范围推进</w:t>
      </w:r>
      <w:r>
        <w:rPr>
          <w:rFonts w:hint="eastAsia"/>
          <w:color w:val="auto"/>
          <w:szCs w:val="32"/>
          <w:highlight w:val="none"/>
          <w:shd w:val="clear" w:color="auto" w:fill="FFFFFF"/>
          <w:lang w:eastAsia="zh-CN"/>
        </w:rPr>
        <w:t>“</w:t>
      </w:r>
      <w:r>
        <w:rPr>
          <w:color w:val="auto"/>
          <w:szCs w:val="32"/>
          <w:highlight w:val="none"/>
          <w:shd w:val="clear" w:color="auto" w:fill="FFFFFF"/>
        </w:rPr>
        <w:t>高效办成一件事</w:t>
      </w:r>
      <w:r>
        <w:rPr>
          <w:rFonts w:hint="eastAsia"/>
          <w:color w:val="auto"/>
          <w:szCs w:val="32"/>
          <w:highlight w:val="none"/>
          <w:shd w:val="clear" w:color="auto" w:fill="FFFFFF"/>
          <w:lang w:eastAsia="zh-CN"/>
        </w:rPr>
        <w:t>”</w:t>
      </w:r>
      <w:r>
        <w:rPr>
          <w:color w:val="auto"/>
          <w:szCs w:val="32"/>
          <w:highlight w:val="none"/>
          <w:shd w:val="clear" w:color="auto" w:fill="FFFFFF"/>
        </w:rPr>
        <w:t>，聚焦企业、个人全生命周期，推动跨部门集成服务，探索朝阳特色</w:t>
      </w:r>
      <w:r>
        <w:rPr>
          <w:rFonts w:hint="eastAsia"/>
          <w:color w:val="auto"/>
          <w:szCs w:val="32"/>
          <w:highlight w:val="none"/>
          <w:shd w:val="clear" w:color="auto" w:fill="FFFFFF"/>
          <w:lang w:eastAsia="zh-CN"/>
        </w:rPr>
        <w:t>“</w:t>
      </w:r>
      <w:r>
        <w:rPr>
          <w:color w:val="auto"/>
          <w:szCs w:val="32"/>
          <w:highlight w:val="none"/>
          <w:shd w:val="clear" w:color="auto" w:fill="FFFFFF"/>
        </w:rPr>
        <w:t>一件事</w:t>
      </w:r>
      <w:r>
        <w:rPr>
          <w:rFonts w:hint="eastAsia"/>
          <w:color w:val="auto"/>
          <w:szCs w:val="32"/>
          <w:highlight w:val="none"/>
          <w:shd w:val="clear" w:color="auto" w:fill="FFFFFF"/>
          <w:lang w:eastAsia="zh-CN"/>
        </w:rPr>
        <w:t>”</w:t>
      </w:r>
      <w:r>
        <w:rPr>
          <w:color w:val="auto"/>
          <w:szCs w:val="32"/>
          <w:highlight w:val="none"/>
          <w:shd w:val="clear" w:color="auto" w:fill="FFFFFF"/>
        </w:rPr>
        <w:t>场景，用好</w:t>
      </w:r>
      <w:r>
        <w:rPr>
          <w:rFonts w:hint="eastAsia"/>
          <w:color w:val="auto"/>
          <w:szCs w:val="32"/>
          <w:highlight w:val="none"/>
          <w:shd w:val="clear" w:color="auto" w:fill="FFFFFF"/>
          <w:lang w:eastAsia="zh-CN"/>
        </w:rPr>
        <w:t>“</w:t>
      </w:r>
      <w:r>
        <w:rPr>
          <w:color w:val="auto"/>
          <w:szCs w:val="32"/>
          <w:highlight w:val="none"/>
          <w:shd w:val="clear" w:color="auto" w:fill="FFFFFF"/>
        </w:rPr>
        <w:t>专事专议</w:t>
      </w:r>
      <w:r>
        <w:rPr>
          <w:rFonts w:hint="eastAsia"/>
          <w:color w:val="auto"/>
          <w:szCs w:val="32"/>
          <w:highlight w:val="none"/>
          <w:shd w:val="clear" w:color="auto" w:fill="FFFFFF"/>
          <w:lang w:eastAsia="zh-CN"/>
        </w:rPr>
        <w:t>”</w:t>
      </w:r>
      <w:r>
        <w:rPr>
          <w:color w:val="auto"/>
          <w:szCs w:val="32"/>
          <w:highlight w:val="none"/>
          <w:shd w:val="clear" w:color="auto" w:fill="FFFFFF"/>
        </w:rPr>
        <w:t>制度，保障重大项目落地。</w:t>
      </w:r>
      <w:r>
        <w:rPr>
          <w:rFonts w:hint="eastAsia"/>
          <w:color w:val="auto"/>
          <w:szCs w:val="32"/>
          <w:highlight w:val="none"/>
        </w:rPr>
        <w:t>完善朝阳区公示语汉英译写智能语料库，利用AI大模型等科技手段，形成统一标准的公示语查询平台，确保对外信息发布的一致性和准确性。</w:t>
      </w:r>
    </w:p>
    <w:p w14:paraId="28166FD1">
      <w:pPr>
        <w:spacing w:line="560" w:lineRule="exact"/>
        <w:ind w:firstLine="643" w:firstLineChars="200"/>
        <w:rPr>
          <w:color w:val="auto"/>
          <w:szCs w:val="32"/>
          <w:highlight w:val="none"/>
        </w:rPr>
      </w:pPr>
      <w:r>
        <w:rPr>
          <w:rFonts w:hint="eastAsia"/>
          <w:b/>
          <w:bCs/>
          <w:color w:val="auto"/>
          <w:szCs w:val="32"/>
          <w:highlight w:val="none"/>
        </w:rPr>
        <w:t>构建开放便捷的涉外政务</w:t>
      </w:r>
      <w:r>
        <w:rPr>
          <w:rFonts w:hint="eastAsia"/>
          <w:b/>
          <w:bCs/>
          <w:color w:val="auto"/>
          <w:szCs w:val="32"/>
          <w:highlight w:val="none"/>
          <w:lang w:eastAsia="zh-CN"/>
        </w:rPr>
        <w:t>服务体系</w:t>
      </w:r>
      <w:r>
        <w:rPr>
          <w:rFonts w:hint="eastAsia"/>
          <w:b/>
          <w:bCs/>
          <w:color w:val="auto"/>
          <w:szCs w:val="32"/>
          <w:highlight w:val="none"/>
        </w:rPr>
        <w:t>。</w:t>
      </w:r>
      <w:r>
        <w:rPr>
          <w:rFonts w:hint="eastAsia"/>
          <w:color w:val="auto"/>
          <w:szCs w:val="32"/>
          <w:highlight w:val="none"/>
        </w:rPr>
        <w:t>优化</w:t>
      </w:r>
      <w:r>
        <w:rPr>
          <w:rFonts w:hint="eastAsia"/>
          <w:color w:val="auto"/>
          <w:szCs w:val="32"/>
          <w:highlight w:val="none"/>
          <w:lang w:eastAsia="zh-CN"/>
        </w:rPr>
        <w:t>“</w:t>
      </w:r>
      <w:r>
        <w:rPr>
          <w:rFonts w:hint="eastAsia"/>
          <w:color w:val="auto"/>
          <w:szCs w:val="32"/>
          <w:highlight w:val="none"/>
        </w:rPr>
        <w:t>e窗通</w:t>
      </w:r>
      <w:r>
        <w:rPr>
          <w:rFonts w:hint="eastAsia"/>
          <w:color w:val="auto"/>
          <w:szCs w:val="32"/>
          <w:highlight w:val="none"/>
          <w:lang w:eastAsia="zh-CN"/>
        </w:rPr>
        <w:t>”</w:t>
      </w:r>
      <w:r>
        <w:rPr>
          <w:rFonts w:hint="eastAsia"/>
          <w:color w:val="auto"/>
          <w:szCs w:val="32"/>
          <w:highlight w:val="none"/>
        </w:rPr>
        <w:t>平台外商投资者身份认证服务，扩大外商投资企业设立</w:t>
      </w:r>
      <w:r>
        <w:rPr>
          <w:rFonts w:hint="eastAsia"/>
          <w:color w:val="auto"/>
          <w:szCs w:val="32"/>
          <w:highlight w:val="none"/>
          <w:lang w:eastAsia="zh-CN"/>
        </w:rPr>
        <w:t>“</w:t>
      </w:r>
      <w:r>
        <w:rPr>
          <w:rFonts w:hint="eastAsia"/>
          <w:color w:val="auto"/>
          <w:szCs w:val="32"/>
          <w:highlight w:val="none"/>
        </w:rPr>
        <w:t>全程网办</w:t>
      </w:r>
      <w:r>
        <w:rPr>
          <w:rFonts w:hint="eastAsia"/>
          <w:color w:val="auto"/>
          <w:szCs w:val="32"/>
          <w:highlight w:val="none"/>
          <w:lang w:eastAsia="zh-CN"/>
        </w:rPr>
        <w:t>”</w:t>
      </w:r>
      <w:r>
        <w:rPr>
          <w:rFonts w:hint="eastAsia"/>
          <w:color w:val="auto"/>
          <w:szCs w:val="32"/>
          <w:highlight w:val="none"/>
        </w:rPr>
        <w:t>范围</w:t>
      </w:r>
      <w:r>
        <w:rPr>
          <w:rFonts w:hint="eastAsia"/>
          <w:color w:val="auto"/>
          <w:highlight w:val="none"/>
        </w:rPr>
        <w:t>，鼓励符合条件的新设外资企业进行网上登记</w:t>
      </w:r>
      <w:r>
        <w:rPr>
          <w:rFonts w:hint="eastAsia"/>
          <w:color w:val="auto"/>
          <w:szCs w:val="32"/>
          <w:highlight w:val="none"/>
        </w:rPr>
        <w:t>。</w:t>
      </w:r>
      <w:r>
        <w:rPr>
          <w:color w:val="auto"/>
          <w:szCs w:val="32"/>
          <w:highlight w:val="none"/>
          <w:shd w:val="clear" w:color="auto" w:fill="FFFFFF"/>
        </w:rPr>
        <w:t>创新</w:t>
      </w:r>
      <w:r>
        <w:rPr>
          <w:rFonts w:hint="eastAsia"/>
          <w:color w:val="auto"/>
          <w:szCs w:val="32"/>
          <w:highlight w:val="none"/>
          <w:shd w:val="clear" w:color="auto" w:fill="FFFFFF"/>
          <w:lang w:eastAsia="zh-CN"/>
        </w:rPr>
        <w:t>“</w:t>
      </w:r>
      <w:r>
        <w:rPr>
          <w:color w:val="auto"/>
          <w:szCs w:val="32"/>
          <w:highlight w:val="none"/>
          <w:shd w:val="clear" w:color="auto" w:fill="FFFFFF"/>
        </w:rPr>
        <w:t>人工智能+政务服务</w:t>
      </w:r>
      <w:r>
        <w:rPr>
          <w:rFonts w:hint="eastAsia"/>
          <w:color w:val="auto"/>
          <w:szCs w:val="32"/>
          <w:highlight w:val="none"/>
          <w:shd w:val="clear" w:color="auto" w:fill="FFFFFF"/>
          <w:lang w:eastAsia="zh-CN"/>
        </w:rPr>
        <w:t>”</w:t>
      </w:r>
      <w:r>
        <w:rPr>
          <w:color w:val="auto"/>
          <w:szCs w:val="32"/>
          <w:highlight w:val="none"/>
          <w:shd w:val="clear" w:color="auto" w:fill="FFFFFF"/>
        </w:rPr>
        <w:t>模式，</w:t>
      </w:r>
      <w:r>
        <w:rPr>
          <w:rFonts w:hint="eastAsia"/>
          <w:color w:val="auto"/>
          <w:szCs w:val="32"/>
          <w:highlight w:val="none"/>
          <w:shd w:val="clear" w:color="auto" w:fill="FFFFFF"/>
        </w:rPr>
        <w:t>探索数字人服务、智能审批、交互式办事等服务模式</w:t>
      </w:r>
      <w:r>
        <w:rPr>
          <w:color w:val="auto"/>
          <w:szCs w:val="32"/>
          <w:highlight w:val="none"/>
          <w:shd w:val="clear" w:color="auto" w:fill="FFFFFF"/>
        </w:rPr>
        <w:t>。</w:t>
      </w:r>
      <w:r>
        <w:rPr>
          <w:rFonts w:hint="eastAsia" w:ascii="Times New Roman"/>
          <w:color w:val="auto"/>
          <w:szCs w:val="32"/>
          <w:highlight w:val="none"/>
        </w:rPr>
        <w:t>积极落实《取消外国公文书认证要求的公约》，简化公文书跨国流转程序。进一步推进柔性执法制度化、清单化，推行包容审慎监管，为外商投资等市场主体提供更加宽容的制度环境。</w:t>
      </w:r>
      <w:r>
        <w:rPr>
          <w:rFonts w:hint="eastAsia"/>
          <w:color w:val="auto"/>
          <w:szCs w:val="32"/>
          <w:highlight w:val="none"/>
        </w:rPr>
        <w:t>支持境外利益相关方依法平等参与</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相关政策和标准制修订，除依法需要保密的以外，在相关政策文件向社会征求意见时</w:t>
      </w:r>
      <w:r>
        <w:rPr>
          <w:rFonts w:hint="eastAsia"/>
          <w:color w:val="auto"/>
          <w:szCs w:val="32"/>
          <w:highlight w:val="none"/>
          <w:lang w:eastAsia="zh-CN"/>
        </w:rPr>
        <w:t>，提升</w:t>
      </w:r>
      <w:r>
        <w:rPr>
          <w:rFonts w:hint="eastAsia"/>
          <w:color w:val="auto"/>
          <w:szCs w:val="32"/>
          <w:highlight w:val="none"/>
        </w:rPr>
        <w:t>外资企业参与度。</w:t>
      </w:r>
    </w:p>
    <w:p w14:paraId="1E5658DB">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09" w:name="_Toc16397"/>
      <w:bookmarkStart w:id="110" w:name="_Toc20169"/>
      <w:bookmarkStart w:id="111" w:name="_Toc13468"/>
      <w:bookmarkStart w:id="112" w:name="_Toc19096"/>
      <w:r>
        <w:rPr>
          <w:rFonts w:hint="eastAsia" w:ascii="Times New Roman" w:hAnsi="Times New Roman" w:eastAsia="黑体" w:cs="黑体"/>
          <w:color w:val="auto"/>
          <w:sz w:val="32"/>
          <w:szCs w:val="32"/>
          <w:highlight w:val="none"/>
          <w:lang w:val="en-US" w:eastAsia="zh-CN"/>
        </w:rPr>
        <w:t>第二节 优化涉外法律服务环境</w:t>
      </w:r>
      <w:bookmarkEnd w:id="109"/>
      <w:bookmarkEnd w:id="110"/>
      <w:bookmarkEnd w:id="111"/>
      <w:bookmarkEnd w:id="112"/>
    </w:p>
    <w:p w14:paraId="3D47F8DF">
      <w:pPr>
        <w:spacing w:line="560" w:lineRule="exact"/>
        <w:ind w:firstLine="643" w:firstLineChars="200"/>
        <w:rPr>
          <w:color w:val="auto"/>
          <w:szCs w:val="32"/>
          <w:highlight w:val="none"/>
        </w:rPr>
      </w:pPr>
      <w:r>
        <w:rPr>
          <w:rFonts w:hint="eastAsia"/>
          <w:b/>
          <w:bCs/>
          <w:color w:val="auto"/>
          <w:szCs w:val="32"/>
          <w:highlight w:val="none"/>
        </w:rPr>
        <w:t>打造国际商事争议解决新高地。</w:t>
      </w:r>
      <w:r>
        <w:rPr>
          <w:rFonts w:hint="eastAsia" w:eastAsia="仿宋_GB2312"/>
          <w:color w:val="auto"/>
          <w:sz w:val="32"/>
          <w:szCs w:val="22"/>
          <w:highlight w:val="none"/>
        </w:rPr>
        <w:t>高水平建设北京国际商事仲裁中心核心承载区，</w:t>
      </w:r>
      <w:r>
        <w:rPr>
          <w:rFonts w:hint="eastAsia"/>
          <w:color w:val="auto"/>
          <w:szCs w:val="32"/>
          <w:highlight w:val="none"/>
        </w:rPr>
        <w:t>提升国际商事仲裁中心（北京）实体平台服务水平，</w:t>
      </w:r>
      <w:r>
        <w:rPr>
          <w:rFonts w:hint="eastAsia" w:eastAsia="仿宋_GB2312" w:cs="Times New Roman"/>
          <w:color w:val="auto"/>
          <w:sz w:val="32"/>
          <w:szCs w:val="32"/>
          <w:highlight w:val="none"/>
          <w:lang w:val="en-US" w:eastAsia="zh-CN"/>
        </w:rPr>
        <w:t>对接协调各类知名境内外仲裁机构</w:t>
      </w:r>
      <w:r>
        <w:rPr>
          <w:rFonts w:hint="eastAsia"/>
          <w:color w:val="auto"/>
          <w:szCs w:val="32"/>
          <w:highlight w:val="none"/>
        </w:rPr>
        <w:t>等商事争议解决机构入驻并开展业务交流等活动，打造商事争议解决一站式综合服务平台。加强与中国香港、新加坡等地法律和仲裁界交流合作，支持国际商事仲裁机构设立业务机构和代表机构。优化国际商事调解服务</w:t>
      </w:r>
      <w:r>
        <w:rPr>
          <w:rFonts w:hint="eastAsia"/>
          <w:color w:val="auto"/>
          <w:szCs w:val="32"/>
          <w:highlight w:val="none"/>
          <w:lang w:eastAsia="zh-CN"/>
        </w:rPr>
        <w:t>，</w:t>
      </w:r>
      <w:r>
        <w:rPr>
          <w:rFonts w:hint="eastAsia"/>
          <w:color w:val="auto"/>
          <w:szCs w:val="32"/>
          <w:highlight w:val="none"/>
        </w:rPr>
        <w:t>深化调解制度改革，进一步优化和规范商事调解组织登记管理，建立健全非诉纠纷解决机制。适时发布典型案例，引导区内商事主体优先选择调解作为解纷手段。</w:t>
      </w:r>
    </w:p>
    <w:p w14:paraId="571320CD">
      <w:pPr>
        <w:spacing w:line="560" w:lineRule="exact"/>
        <w:ind w:firstLine="643" w:firstLineChars="200"/>
        <w:rPr>
          <w:color w:val="auto"/>
          <w:szCs w:val="32"/>
          <w:highlight w:val="none"/>
        </w:rPr>
      </w:pPr>
      <w:r>
        <w:rPr>
          <w:rFonts w:hint="eastAsia"/>
          <w:b/>
          <w:bCs/>
          <w:color w:val="auto"/>
          <w:szCs w:val="32"/>
          <w:highlight w:val="none"/>
        </w:rPr>
        <w:t>强化知识产权纠纷解决。</w:t>
      </w:r>
      <w:r>
        <w:rPr>
          <w:rFonts w:hint="eastAsia"/>
          <w:color w:val="auto"/>
          <w:szCs w:val="32"/>
          <w:highlight w:val="none"/>
        </w:rPr>
        <w:t>打造知识产权创造、运用、保护、管理、服务“五位一体”的工作体系，完善供需匹配的服务供给机制</w:t>
      </w:r>
      <w:r>
        <w:rPr>
          <w:rFonts w:hint="eastAsia"/>
          <w:color w:val="auto"/>
          <w:szCs w:val="32"/>
          <w:highlight w:val="none"/>
          <w:lang w:eastAsia="zh-CN"/>
        </w:rPr>
        <w:t>。</w:t>
      </w:r>
      <w:r>
        <w:rPr>
          <w:rFonts w:hint="eastAsia"/>
          <w:color w:val="auto"/>
          <w:szCs w:val="32"/>
          <w:highlight w:val="none"/>
        </w:rPr>
        <w:t>鼓励涉外知识产权服务机构发展，推动建设知识产权赋能站，为企业提供知识产权培训、商标托管、政策咨询、维权咨询、检索分析、专利挖掘及转让等全方位服务。拓宽涉外知识产权纠纷多元化解渠道，加强知识产权纠纷商事调解组织建设，依托朝阳区知识产权纠纷人民调解委员会服务区内企业，畅通涉外知识产权纠纷调解渠道，加强海外知识产权纠纷应对指导。依托朝阳区知识产权快速维权中心，探索建立海外维权服务机制，为企业提供纠纷应对指导、宣传咨询、资源对接等服务。</w:t>
      </w:r>
    </w:p>
    <w:p w14:paraId="1B3AE37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113" w:name="_Toc13756"/>
      <w:bookmarkStart w:id="114" w:name="_Toc21917"/>
      <w:bookmarkStart w:id="115" w:name="_Toc6841"/>
      <w:bookmarkStart w:id="116" w:name="_Toc4595"/>
      <w:r>
        <w:rPr>
          <w:rFonts w:hint="eastAsia" w:ascii="Times New Roman" w:hAnsi="Times New Roman" w:eastAsia="黑体" w:cs="黑体"/>
          <w:color w:val="auto"/>
          <w:sz w:val="32"/>
          <w:szCs w:val="32"/>
          <w:highlight w:val="none"/>
          <w:lang w:val="en-US" w:eastAsia="zh-CN"/>
        </w:rPr>
        <w:t>第三节 优化引才留才服务环境</w:t>
      </w:r>
      <w:bookmarkEnd w:id="113"/>
      <w:bookmarkEnd w:id="114"/>
      <w:bookmarkEnd w:id="115"/>
      <w:bookmarkEnd w:id="116"/>
    </w:p>
    <w:p w14:paraId="475C72E8">
      <w:pPr>
        <w:spacing w:line="560" w:lineRule="exact"/>
        <w:ind w:firstLine="643" w:firstLineChars="200"/>
        <w:rPr>
          <w:color w:val="auto"/>
          <w:highlight w:val="none"/>
        </w:rPr>
      </w:pPr>
      <w:r>
        <w:rPr>
          <w:rFonts w:hint="eastAsia"/>
          <w:b/>
          <w:bCs/>
          <w:color w:val="auto"/>
          <w:szCs w:val="32"/>
          <w:highlight w:val="none"/>
        </w:rPr>
        <w:t>积极推动人才引进培育。</w:t>
      </w:r>
      <w:r>
        <w:rPr>
          <w:color w:val="auto"/>
          <w:highlight w:val="none"/>
        </w:rPr>
        <w:t>深入实施</w:t>
      </w:r>
      <w:r>
        <w:rPr>
          <w:rFonts w:hint="eastAsia"/>
          <w:color w:val="auto"/>
          <w:highlight w:val="none"/>
          <w:lang w:eastAsia="zh-CN"/>
        </w:rPr>
        <w:t>“</w:t>
      </w:r>
      <w:r>
        <w:rPr>
          <w:color w:val="auto"/>
          <w:highlight w:val="none"/>
        </w:rPr>
        <w:t>凤凰计划</w:t>
      </w:r>
      <w:r>
        <w:rPr>
          <w:rFonts w:hint="eastAsia"/>
          <w:color w:val="auto"/>
          <w:highlight w:val="none"/>
          <w:lang w:eastAsia="zh-CN"/>
        </w:rPr>
        <w:t>”</w:t>
      </w:r>
      <w:r>
        <w:rPr>
          <w:color w:val="auto"/>
          <w:highlight w:val="none"/>
        </w:rPr>
        <w:t>，</w:t>
      </w:r>
      <w:r>
        <w:rPr>
          <w:rFonts w:hint="eastAsia"/>
          <w:color w:val="auto"/>
          <w:highlight w:val="none"/>
        </w:rPr>
        <w:t>在科技、数字经济、商务、金融、文化、教育、卫生健康等领域，面向全球范围引进高层次</w:t>
      </w:r>
      <w:r>
        <w:rPr>
          <w:rFonts w:hint="eastAsia"/>
          <w:color w:val="auto"/>
          <w:highlight w:val="none"/>
          <w:lang w:eastAsia="zh-CN"/>
        </w:rPr>
        <w:t>人才</w:t>
      </w:r>
      <w:r>
        <w:rPr>
          <w:color w:val="auto"/>
          <w:highlight w:val="none"/>
        </w:rPr>
        <w:t>。</w:t>
      </w:r>
      <w:r>
        <w:rPr>
          <w:rFonts w:hint="eastAsia" w:ascii="Times New Roman" w:hAnsi="Times New Roman" w:eastAsia="仿宋_GB2312" w:cs="Times New Roman"/>
          <w:color w:val="auto"/>
          <w:sz w:val="32"/>
          <w:szCs w:val="32"/>
          <w:highlight w:val="none"/>
          <w:lang w:eastAsia="zh-CN"/>
        </w:rPr>
        <w:t>依托朝阳国际人才创业大会（ITEC）以及创新峰会、科创沙龙、朝阳国际日、凤凰学院等系列活动</w:t>
      </w:r>
      <w:r>
        <w:rPr>
          <w:rFonts w:hint="eastAsia"/>
          <w:color w:val="auto"/>
          <w:highlight w:val="none"/>
        </w:rPr>
        <w:t>，推动人才链与产业链、创新链、资金链深度融合，助力首都高水平人才高地建设。优化</w:t>
      </w:r>
      <w:r>
        <w:rPr>
          <w:rFonts w:hint="eastAsia"/>
          <w:color w:val="auto"/>
          <w:highlight w:val="none"/>
          <w:lang w:eastAsia="zh-CN"/>
        </w:rPr>
        <w:t>“</w:t>
      </w:r>
      <w:r>
        <w:rPr>
          <w:rFonts w:hint="eastAsia"/>
          <w:color w:val="auto"/>
          <w:highlight w:val="none"/>
        </w:rPr>
        <w:t>两区</w:t>
      </w:r>
      <w:r>
        <w:rPr>
          <w:rFonts w:hint="eastAsia"/>
          <w:color w:val="auto"/>
          <w:highlight w:val="none"/>
          <w:lang w:eastAsia="zh-CN"/>
        </w:rPr>
        <w:t>”</w:t>
      </w:r>
      <w:r>
        <w:rPr>
          <w:rFonts w:hint="eastAsia"/>
          <w:color w:val="auto"/>
          <w:highlight w:val="none"/>
        </w:rPr>
        <w:t>外籍创新创业人才评估、引进工作。鼓励外国博士毕业生到区内博士后工作站开展研究。</w:t>
      </w:r>
    </w:p>
    <w:p w14:paraId="3FCC3D41">
      <w:pPr>
        <w:spacing w:line="560" w:lineRule="exact"/>
        <w:ind w:firstLine="643" w:firstLineChars="200"/>
        <w:rPr>
          <w:rFonts w:cs="仿宋_GB2312"/>
          <w:color w:val="auto"/>
          <w:szCs w:val="32"/>
          <w:highlight w:val="none"/>
        </w:rPr>
      </w:pPr>
      <w:r>
        <w:rPr>
          <w:rFonts w:hint="eastAsia"/>
          <w:b/>
          <w:bCs/>
          <w:color w:val="auto"/>
          <w:szCs w:val="32"/>
          <w:highlight w:val="none"/>
        </w:rPr>
        <w:t>优化外籍人员综合服务。</w:t>
      </w:r>
      <w:r>
        <w:rPr>
          <w:color w:val="auto"/>
          <w:szCs w:val="32"/>
          <w:highlight w:val="none"/>
        </w:rPr>
        <w:t>持续优化外籍</w:t>
      </w:r>
      <w:r>
        <w:rPr>
          <w:rFonts w:hint="eastAsia"/>
          <w:color w:val="auto"/>
          <w:szCs w:val="32"/>
          <w:highlight w:val="none"/>
          <w:lang w:eastAsia="zh-CN"/>
        </w:rPr>
        <w:t>人士</w:t>
      </w:r>
      <w:r>
        <w:rPr>
          <w:color w:val="auto"/>
          <w:szCs w:val="32"/>
          <w:highlight w:val="none"/>
        </w:rPr>
        <w:t>服务体系，</w:t>
      </w:r>
      <w:r>
        <w:rPr>
          <w:rFonts w:hint="eastAsia"/>
          <w:color w:val="auto"/>
          <w:szCs w:val="32"/>
          <w:highlight w:val="none"/>
        </w:rPr>
        <w:t>提升外籍人士在朝阳工作、生活、旅游、商务、入学、就医等方面的便利化水平</w:t>
      </w:r>
      <w:r>
        <w:rPr>
          <w:rFonts w:hint="eastAsia"/>
          <w:color w:val="auto"/>
          <w:szCs w:val="32"/>
          <w:highlight w:val="none"/>
          <w:lang w:eastAsia="zh-CN"/>
        </w:rPr>
        <w:t>，</w:t>
      </w:r>
      <w:r>
        <w:rPr>
          <w:rFonts w:hint="eastAsia"/>
          <w:color w:val="auto"/>
          <w:szCs w:val="32"/>
          <w:highlight w:val="none"/>
        </w:rPr>
        <w:t>探索建立集</w:t>
      </w:r>
      <w:r>
        <w:rPr>
          <w:rFonts w:hint="eastAsia"/>
          <w:color w:val="auto"/>
          <w:szCs w:val="32"/>
          <w:highlight w:val="none"/>
          <w:lang w:eastAsia="zh-CN"/>
        </w:rPr>
        <w:t>生活服务</w:t>
      </w:r>
      <w:r>
        <w:rPr>
          <w:rFonts w:hint="eastAsia"/>
          <w:color w:val="auto"/>
          <w:szCs w:val="32"/>
          <w:highlight w:val="none"/>
        </w:rPr>
        <w:t>、社会保障、创新创业等事项于一体的一站式服务中心</w:t>
      </w:r>
      <w:r>
        <w:rPr>
          <w:rFonts w:hint="eastAsia"/>
          <w:color w:val="auto"/>
          <w:szCs w:val="32"/>
          <w:highlight w:val="none"/>
          <w:lang w:eastAsia="zh-CN"/>
        </w:rPr>
        <w:t>。</w:t>
      </w:r>
      <w:r>
        <w:rPr>
          <w:rFonts w:hint="eastAsia"/>
          <w:color w:val="auto"/>
          <w:szCs w:val="32"/>
          <w:highlight w:val="none"/>
        </w:rPr>
        <w:t>做好外国人工作许可证与社会保障卡融合集成工作，探索拓展社保卡应用场景，支持外国人享受更多领域</w:t>
      </w:r>
      <w:r>
        <w:rPr>
          <w:rFonts w:hint="eastAsia"/>
          <w:color w:val="auto"/>
          <w:szCs w:val="32"/>
          <w:highlight w:val="none"/>
          <w:lang w:eastAsia="zh-CN"/>
        </w:rPr>
        <w:t>“</w:t>
      </w:r>
      <w:r>
        <w:rPr>
          <w:rFonts w:hint="eastAsia"/>
          <w:color w:val="auto"/>
          <w:szCs w:val="32"/>
          <w:highlight w:val="none"/>
        </w:rPr>
        <w:t>一卡通</w:t>
      </w:r>
      <w:r>
        <w:rPr>
          <w:rFonts w:hint="eastAsia"/>
          <w:color w:val="auto"/>
          <w:szCs w:val="32"/>
          <w:highlight w:val="none"/>
          <w:lang w:eastAsia="zh-CN"/>
        </w:rPr>
        <w:t>”</w:t>
      </w:r>
      <w:r>
        <w:rPr>
          <w:rFonts w:hint="eastAsia"/>
          <w:color w:val="auto"/>
          <w:szCs w:val="32"/>
          <w:highlight w:val="none"/>
        </w:rPr>
        <w:t>服务。提升涉外支付便利化程度，</w:t>
      </w:r>
      <w:r>
        <w:rPr>
          <w:color w:val="auto"/>
          <w:szCs w:val="32"/>
          <w:highlight w:val="none"/>
        </w:rPr>
        <w:t>优化重点区域外币兑换服务，</w:t>
      </w:r>
      <w:r>
        <w:rPr>
          <w:rFonts w:hint="eastAsia"/>
          <w:color w:val="auto"/>
          <w:szCs w:val="32"/>
          <w:highlight w:val="none"/>
        </w:rPr>
        <w:t>提高区内外卡销售点终端机（POS机）配备率，简化</w:t>
      </w:r>
      <w:r>
        <w:rPr>
          <w:rFonts w:hint="eastAsia"/>
          <w:color w:val="auto"/>
          <w:szCs w:val="32"/>
          <w:highlight w:val="none"/>
          <w:lang w:eastAsia="zh-CN"/>
        </w:rPr>
        <w:t>“</w:t>
      </w:r>
      <w:r>
        <w:rPr>
          <w:rFonts w:hint="eastAsia"/>
          <w:color w:val="auto"/>
          <w:szCs w:val="32"/>
          <w:highlight w:val="none"/>
        </w:rPr>
        <w:t>外卡内绑</w:t>
      </w:r>
      <w:r>
        <w:rPr>
          <w:rFonts w:hint="eastAsia"/>
          <w:color w:val="auto"/>
          <w:szCs w:val="32"/>
          <w:highlight w:val="none"/>
          <w:lang w:eastAsia="zh-CN"/>
        </w:rPr>
        <w:t>”</w:t>
      </w:r>
      <w:r>
        <w:rPr>
          <w:rFonts w:hint="eastAsia"/>
          <w:color w:val="auto"/>
          <w:szCs w:val="32"/>
          <w:highlight w:val="none"/>
        </w:rPr>
        <w:t>业务流程。</w:t>
      </w:r>
      <w:r>
        <w:rPr>
          <w:color w:val="auto"/>
          <w:szCs w:val="32"/>
          <w:highlight w:val="none"/>
        </w:rPr>
        <w:t>进一步优化国际交往语言环境，完善客运枢纽、旅游景区、星级酒店、大型商圈等场所多语种标识及导览设施，提高涉外场所外语咨询服务能力。强化外籍人员子女入学保障，推动国际学校与公办学校发展共同体项目。完善国际医疗供给，推动更多医疗机构参与国际商业保险结算，推进国际化社区涉外卫生服务机构建设，探索建立区级国际医疗联合体</w:t>
      </w:r>
      <w:r>
        <w:rPr>
          <w:rFonts w:hint="eastAsia"/>
          <w:color w:val="auto"/>
          <w:szCs w:val="32"/>
          <w:highlight w:val="none"/>
        </w:rPr>
        <w:t>。</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0DEF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E828488">
            <w:pPr>
              <w:pStyle w:val="36"/>
              <w:spacing w:after="160"/>
              <w:rPr>
                <w:rFonts w:hint="default" w:eastAsiaTheme="minorEastAsia"/>
                <w:color w:val="auto"/>
                <w:highlight w:val="none"/>
              </w:rPr>
            </w:pPr>
            <w:bookmarkStart w:id="117" w:name="_Toc25298"/>
            <w:bookmarkStart w:id="118" w:name="_Toc4803"/>
            <w:bookmarkStart w:id="119" w:name="_Toc11764"/>
            <w:bookmarkStart w:id="120" w:name="_Toc14303"/>
            <w:r>
              <w:rPr>
                <w:color w:val="auto"/>
                <w:highlight w:val="none"/>
              </w:rPr>
              <w:t>专栏</w:t>
            </w:r>
            <w:r>
              <w:rPr>
                <w:rFonts w:hint="eastAsia"/>
                <w:color w:val="auto"/>
                <w:highlight w:val="none"/>
                <w:lang w:val="en-US" w:eastAsia="zh-CN"/>
              </w:rPr>
              <w:t>10</w:t>
            </w:r>
            <w:r>
              <w:rPr>
                <w:color w:val="auto"/>
                <w:highlight w:val="none"/>
              </w:rPr>
              <w:t xml:space="preserve"> </w:t>
            </w:r>
            <w:bookmarkEnd w:id="117"/>
            <w:r>
              <w:rPr>
                <w:color w:val="auto"/>
                <w:highlight w:val="none"/>
              </w:rPr>
              <w:t>营商环境优化提质行动</w:t>
            </w:r>
            <w:bookmarkEnd w:id="118"/>
            <w:bookmarkEnd w:id="119"/>
            <w:bookmarkEnd w:id="120"/>
          </w:p>
        </w:tc>
      </w:tr>
      <w:tr w14:paraId="16D1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518ED33">
            <w:pPr>
              <w:adjustRightInd w:val="0"/>
              <w:snapToGrid w:val="0"/>
              <w:spacing w:after="0" w:line="380" w:lineRule="exact"/>
              <w:rPr>
                <w:rFonts w:hint="eastAsia" w:eastAsia="楷体_GB2312"/>
                <w:color w:val="auto"/>
                <w:kern w:val="0"/>
                <w:sz w:val="28"/>
                <w:szCs w:val="28"/>
                <w:highlight w:val="none"/>
                <w:lang w:eastAsia="zh-CN"/>
              </w:rPr>
            </w:pPr>
            <w:r>
              <w:rPr>
                <w:rFonts w:hint="eastAsia" w:eastAsia="楷体_GB2312"/>
                <w:color w:val="auto"/>
                <w:kern w:val="0"/>
                <w:sz w:val="28"/>
                <w:szCs w:val="28"/>
                <w:highlight w:val="none"/>
              </w:rPr>
              <w:t>01</w:t>
            </w:r>
            <w:r>
              <w:rPr>
                <w:rFonts w:hint="eastAsia" w:eastAsia="楷体_GB2312"/>
                <w:color w:val="auto"/>
                <w:kern w:val="0"/>
                <w:sz w:val="28"/>
                <w:szCs w:val="28"/>
                <w:highlight w:val="none"/>
                <w:lang w:eastAsia="zh-CN"/>
              </w:rPr>
              <w:t>深化</w:t>
            </w:r>
            <w:r>
              <w:rPr>
                <w:rFonts w:eastAsia="楷体_GB2312"/>
                <w:color w:val="auto"/>
                <w:kern w:val="0"/>
                <w:sz w:val="28"/>
                <w:szCs w:val="28"/>
                <w:highlight w:val="none"/>
              </w:rPr>
              <w:t>国际商事仲裁中心</w:t>
            </w:r>
            <w:r>
              <w:rPr>
                <w:rFonts w:hint="eastAsia" w:eastAsia="楷体_GB2312"/>
                <w:color w:val="auto"/>
                <w:kern w:val="0"/>
                <w:sz w:val="28"/>
                <w:szCs w:val="28"/>
                <w:highlight w:val="none"/>
                <w:lang w:eastAsia="zh-CN"/>
              </w:rPr>
              <w:t>建设</w:t>
            </w:r>
          </w:p>
          <w:p w14:paraId="7622B58A">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深化国际商事仲裁中心（北京）实体平台建设，做强交往合作、资源聚合、仲裁推广、共享服务、人才智库</w:t>
            </w:r>
            <w:r>
              <w:rPr>
                <w:rFonts w:hint="eastAsia"/>
                <w:color w:val="auto"/>
                <w:kern w:val="0"/>
                <w:sz w:val="28"/>
                <w:szCs w:val="28"/>
                <w:highlight w:val="none"/>
                <w:lang w:eastAsia="zh-CN"/>
              </w:rPr>
              <w:t>“</w:t>
            </w:r>
            <w:r>
              <w:rPr>
                <w:rFonts w:hint="eastAsia"/>
                <w:color w:val="auto"/>
                <w:kern w:val="0"/>
                <w:sz w:val="28"/>
                <w:szCs w:val="28"/>
                <w:highlight w:val="none"/>
              </w:rPr>
              <w:t>五大功能</w:t>
            </w:r>
            <w:r>
              <w:rPr>
                <w:rFonts w:hint="eastAsia"/>
                <w:color w:val="auto"/>
                <w:kern w:val="0"/>
                <w:sz w:val="28"/>
                <w:szCs w:val="28"/>
                <w:highlight w:val="none"/>
                <w:lang w:eastAsia="zh-CN"/>
              </w:rPr>
              <w:t>”</w:t>
            </w:r>
            <w:r>
              <w:rPr>
                <w:rFonts w:hint="eastAsia"/>
                <w:color w:val="auto"/>
                <w:kern w:val="0"/>
                <w:sz w:val="28"/>
                <w:szCs w:val="28"/>
                <w:highlight w:val="none"/>
              </w:rPr>
              <w:t>，集聚调解、仲裁、诉讼等多元争议解决机构以及鉴定、公证、法律查明、司法会计等法律服务和泛法务机构，持续推动法律服务资源要素融合，全力打造</w:t>
            </w:r>
            <w:r>
              <w:rPr>
                <w:rFonts w:hint="eastAsia"/>
                <w:color w:val="auto"/>
                <w:kern w:val="0"/>
                <w:sz w:val="28"/>
                <w:szCs w:val="28"/>
                <w:highlight w:val="none"/>
                <w:lang w:eastAsia="zh-CN"/>
              </w:rPr>
              <w:t>“</w:t>
            </w:r>
            <w:r>
              <w:rPr>
                <w:rFonts w:hint="eastAsia"/>
                <w:color w:val="auto"/>
                <w:kern w:val="0"/>
                <w:sz w:val="28"/>
                <w:szCs w:val="28"/>
                <w:highlight w:val="none"/>
              </w:rPr>
              <w:t>国际会客厅</w:t>
            </w:r>
            <w:r>
              <w:rPr>
                <w:rFonts w:hint="eastAsia"/>
                <w:color w:val="auto"/>
                <w:kern w:val="0"/>
                <w:sz w:val="28"/>
                <w:szCs w:val="28"/>
                <w:highlight w:val="none"/>
                <w:lang w:eastAsia="zh-CN"/>
              </w:rPr>
              <w:t>”“</w:t>
            </w:r>
            <w:r>
              <w:rPr>
                <w:rFonts w:hint="eastAsia"/>
                <w:color w:val="auto"/>
                <w:kern w:val="0"/>
                <w:sz w:val="28"/>
                <w:szCs w:val="28"/>
                <w:highlight w:val="none"/>
              </w:rPr>
              <w:t>国际共享庭审中心</w:t>
            </w:r>
            <w:r>
              <w:rPr>
                <w:rFonts w:hint="eastAsia"/>
                <w:color w:val="auto"/>
                <w:kern w:val="0"/>
                <w:sz w:val="28"/>
                <w:szCs w:val="28"/>
                <w:highlight w:val="none"/>
                <w:lang w:eastAsia="zh-CN"/>
              </w:rPr>
              <w:t>”“</w:t>
            </w:r>
            <w:r>
              <w:rPr>
                <w:rFonts w:hint="eastAsia"/>
                <w:color w:val="auto"/>
                <w:kern w:val="0"/>
                <w:sz w:val="28"/>
                <w:szCs w:val="28"/>
                <w:highlight w:val="none"/>
              </w:rPr>
              <w:t>全链条商事争议解决机制</w:t>
            </w:r>
            <w:r>
              <w:rPr>
                <w:rFonts w:hint="eastAsia"/>
                <w:color w:val="auto"/>
                <w:kern w:val="0"/>
                <w:sz w:val="28"/>
                <w:szCs w:val="28"/>
                <w:highlight w:val="none"/>
                <w:lang w:eastAsia="zh-CN"/>
              </w:rPr>
              <w:t>”“</w:t>
            </w:r>
            <w:r>
              <w:rPr>
                <w:rFonts w:hint="eastAsia"/>
                <w:color w:val="auto"/>
                <w:kern w:val="0"/>
                <w:sz w:val="28"/>
                <w:szCs w:val="28"/>
                <w:highlight w:val="none"/>
              </w:rPr>
              <w:t>涉外法律服务人才实训基地</w:t>
            </w:r>
            <w:r>
              <w:rPr>
                <w:rFonts w:hint="eastAsia"/>
                <w:color w:val="auto"/>
                <w:kern w:val="0"/>
                <w:sz w:val="28"/>
                <w:szCs w:val="28"/>
                <w:highlight w:val="none"/>
                <w:lang w:eastAsia="zh-CN"/>
              </w:rPr>
              <w:t>”</w:t>
            </w:r>
            <w:r>
              <w:rPr>
                <w:rFonts w:hint="eastAsia"/>
                <w:color w:val="auto"/>
                <w:kern w:val="0"/>
                <w:sz w:val="28"/>
                <w:szCs w:val="28"/>
                <w:highlight w:val="none"/>
              </w:rPr>
              <w:t>四大平台，为市场主体提供一站式、全要素、多选择的商事争议解决服务。</w:t>
            </w:r>
          </w:p>
        </w:tc>
      </w:tr>
      <w:tr w14:paraId="1A9F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03BC587">
            <w:pPr>
              <w:adjustRightInd w:val="0"/>
              <w:snapToGrid w:val="0"/>
              <w:spacing w:after="0" w:line="380" w:lineRule="exact"/>
              <w:rPr>
                <w:strike w:val="0"/>
                <w:color w:val="auto"/>
                <w:kern w:val="0"/>
                <w:sz w:val="28"/>
                <w:szCs w:val="28"/>
                <w:highlight w:val="none"/>
              </w:rPr>
            </w:pPr>
            <w:bookmarkStart w:id="121" w:name="_Toc30319"/>
            <w:bookmarkStart w:id="122" w:name="_Toc24419"/>
            <w:r>
              <w:rPr>
                <w:rFonts w:hint="eastAsia" w:eastAsia="楷体_GB2312"/>
                <w:strike w:val="0"/>
                <w:color w:val="auto"/>
                <w:kern w:val="0"/>
                <w:sz w:val="28"/>
                <w:szCs w:val="28"/>
                <w:highlight w:val="none"/>
              </w:rPr>
              <w:t>02优化外籍人员综合服务</w:t>
            </w:r>
          </w:p>
          <w:p w14:paraId="2E9C974B">
            <w:pPr>
              <w:adjustRightInd w:val="0"/>
              <w:snapToGrid w:val="0"/>
              <w:spacing w:after="0" w:line="380" w:lineRule="exact"/>
              <w:ind w:left="640" w:leftChars="200"/>
              <w:rPr>
                <w:color w:val="auto"/>
                <w:kern w:val="0"/>
                <w:sz w:val="28"/>
                <w:szCs w:val="28"/>
                <w:highlight w:val="none"/>
              </w:rPr>
            </w:pPr>
            <w:r>
              <w:rPr>
                <w:rFonts w:hint="eastAsia"/>
                <w:strike w:val="0"/>
                <w:color w:val="auto"/>
                <w:kern w:val="0"/>
                <w:sz w:val="28"/>
                <w:szCs w:val="28"/>
                <w:highlight w:val="none"/>
                <w:lang w:eastAsia="zh-CN"/>
              </w:rPr>
              <w:t>优化</w:t>
            </w:r>
            <w:r>
              <w:rPr>
                <w:strike w:val="0"/>
                <w:color w:val="auto"/>
                <w:kern w:val="0"/>
                <w:sz w:val="28"/>
                <w:szCs w:val="28"/>
                <w:highlight w:val="none"/>
              </w:rPr>
              <w:t>办理涉及外籍人士工作、生活、旅游、经商等领域</w:t>
            </w:r>
            <w:r>
              <w:rPr>
                <w:rFonts w:hint="eastAsia"/>
                <w:strike w:val="0"/>
                <w:color w:val="auto"/>
                <w:kern w:val="0"/>
                <w:sz w:val="28"/>
                <w:szCs w:val="28"/>
                <w:highlight w:val="none"/>
                <w:lang w:eastAsia="zh-CN"/>
              </w:rPr>
              <w:t>政务服务事项</w:t>
            </w:r>
            <w:r>
              <w:rPr>
                <w:strike w:val="0"/>
                <w:color w:val="auto"/>
                <w:kern w:val="0"/>
                <w:sz w:val="28"/>
                <w:szCs w:val="28"/>
                <w:highlight w:val="none"/>
              </w:rPr>
              <w:t>，</w:t>
            </w:r>
            <w:r>
              <w:rPr>
                <w:rFonts w:hint="eastAsia"/>
                <w:strike w:val="0"/>
                <w:color w:val="auto"/>
                <w:kern w:val="0"/>
                <w:sz w:val="28"/>
                <w:szCs w:val="28"/>
                <w:highlight w:val="none"/>
                <w:lang w:eastAsia="zh-CN"/>
              </w:rPr>
              <w:t>探索为</w:t>
            </w:r>
            <w:r>
              <w:rPr>
                <w:strike w:val="0"/>
                <w:color w:val="auto"/>
                <w:kern w:val="0"/>
                <w:sz w:val="28"/>
                <w:szCs w:val="28"/>
                <w:highlight w:val="none"/>
              </w:rPr>
              <w:t>外籍人士</w:t>
            </w:r>
            <w:r>
              <w:rPr>
                <w:rFonts w:hint="eastAsia"/>
                <w:strike w:val="0"/>
                <w:color w:val="auto"/>
                <w:kern w:val="0"/>
                <w:sz w:val="28"/>
                <w:szCs w:val="28"/>
                <w:highlight w:val="none"/>
                <w:lang w:eastAsia="zh-CN"/>
              </w:rPr>
              <w:t>提供“</w:t>
            </w:r>
            <w:r>
              <w:rPr>
                <w:strike w:val="0"/>
                <w:color w:val="auto"/>
                <w:kern w:val="0"/>
                <w:sz w:val="28"/>
                <w:szCs w:val="28"/>
                <w:highlight w:val="none"/>
              </w:rPr>
              <w:t>一站式</w:t>
            </w:r>
            <w:r>
              <w:rPr>
                <w:rFonts w:hint="eastAsia"/>
                <w:strike w:val="0"/>
                <w:color w:val="auto"/>
                <w:kern w:val="0"/>
                <w:sz w:val="28"/>
                <w:szCs w:val="28"/>
                <w:highlight w:val="none"/>
                <w:lang w:eastAsia="zh-CN"/>
              </w:rPr>
              <w:t>”便利化</w:t>
            </w:r>
            <w:r>
              <w:rPr>
                <w:strike w:val="0"/>
                <w:color w:val="auto"/>
                <w:kern w:val="0"/>
                <w:sz w:val="28"/>
                <w:szCs w:val="28"/>
                <w:highlight w:val="none"/>
              </w:rPr>
              <w:t>服务</w:t>
            </w:r>
            <w:r>
              <w:rPr>
                <w:rFonts w:hint="eastAsia"/>
                <w:strike w:val="0"/>
                <w:color w:val="auto"/>
                <w:kern w:val="0"/>
                <w:sz w:val="28"/>
                <w:szCs w:val="28"/>
                <w:highlight w:val="none"/>
                <w:lang w:eastAsia="zh-CN"/>
              </w:rPr>
              <w:t>。</w:t>
            </w:r>
            <w:r>
              <w:rPr>
                <w:strike w:val="0"/>
                <w:color w:val="auto"/>
                <w:kern w:val="0"/>
                <w:sz w:val="28"/>
                <w:szCs w:val="28"/>
                <w:highlight w:val="none"/>
              </w:rPr>
              <w:t>挖掘</w:t>
            </w:r>
            <w:r>
              <w:rPr>
                <w:rFonts w:hint="eastAsia"/>
                <w:strike w:val="0"/>
                <w:color w:val="auto"/>
                <w:kern w:val="0"/>
                <w:sz w:val="28"/>
                <w:szCs w:val="28"/>
                <w:highlight w:val="none"/>
              </w:rPr>
              <w:t>外籍人员</w:t>
            </w:r>
            <w:r>
              <w:rPr>
                <w:strike w:val="0"/>
                <w:color w:val="auto"/>
                <w:kern w:val="0"/>
                <w:sz w:val="28"/>
                <w:szCs w:val="28"/>
                <w:highlight w:val="none"/>
              </w:rPr>
              <w:t>工作生活的堵点难点，持续形成创新突破</w:t>
            </w:r>
            <w:r>
              <w:rPr>
                <w:rFonts w:hint="eastAsia"/>
                <w:strike w:val="0"/>
                <w:color w:val="auto"/>
                <w:kern w:val="0"/>
                <w:sz w:val="28"/>
                <w:szCs w:val="28"/>
                <w:highlight w:val="none"/>
              </w:rPr>
              <w:t>，</w:t>
            </w:r>
            <w:r>
              <w:rPr>
                <w:strike w:val="0"/>
                <w:color w:val="auto"/>
                <w:kern w:val="0"/>
                <w:sz w:val="28"/>
                <w:szCs w:val="28"/>
                <w:highlight w:val="none"/>
              </w:rPr>
              <w:t>吸引更多外籍人员首站来</w:t>
            </w:r>
            <w:r>
              <w:rPr>
                <w:rFonts w:hint="eastAsia"/>
                <w:strike w:val="0"/>
                <w:color w:val="auto"/>
                <w:kern w:val="0"/>
                <w:sz w:val="28"/>
                <w:szCs w:val="28"/>
                <w:highlight w:val="none"/>
              </w:rPr>
              <w:t>到</w:t>
            </w:r>
            <w:r>
              <w:rPr>
                <w:strike w:val="0"/>
                <w:color w:val="auto"/>
                <w:kern w:val="0"/>
                <w:sz w:val="28"/>
                <w:szCs w:val="28"/>
                <w:highlight w:val="none"/>
              </w:rPr>
              <w:t>朝阳，助力发展入境消费和招商引资</w:t>
            </w:r>
            <w:r>
              <w:rPr>
                <w:rFonts w:hint="eastAsia"/>
                <w:strike w:val="0"/>
                <w:color w:val="auto"/>
                <w:kern w:val="0"/>
                <w:sz w:val="28"/>
                <w:szCs w:val="28"/>
                <w:highlight w:val="none"/>
              </w:rPr>
              <w:t>。</w:t>
            </w:r>
          </w:p>
        </w:tc>
      </w:tr>
    </w:tbl>
    <w:p w14:paraId="2A706BCB">
      <w:pPr>
        <w:widowControl/>
        <w:jc w:val="left"/>
        <w:rPr>
          <w:rFonts w:eastAsia="黑体"/>
          <w:color w:val="auto"/>
          <w:szCs w:val="32"/>
          <w:highlight w:val="none"/>
        </w:rPr>
      </w:pPr>
      <w:r>
        <w:rPr>
          <w:rFonts w:hint="eastAsia" w:eastAsia="黑体"/>
          <w:color w:val="auto"/>
          <w:szCs w:val="32"/>
          <w:highlight w:val="none"/>
        </w:rPr>
        <w:br w:type="page"/>
      </w:r>
    </w:p>
    <w:bookmarkEnd w:id="121"/>
    <w:bookmarkEnd w:id="122"/>
    <w:p w14:paraId="6430FAB0">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123" w:name="_Toc32330"/>
      <w:bookmarkStart w:id="124" w:name="_Toc25580"/>
      <w:bookmarkStart w:id="125" w:name="_Toc24781"/>
      <w:bookmarkStart w:id="126" w:name="_Toc3177"/>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七</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加强规划</w:t>
      </w:r>
      <w:r>
        <w:rPr>
          <w:rFonts w:hint="eastAsia" w:ascii="Times New Roman" w:hAnsi="Times New Roman" w:eastAsia="方正小标宋简体" w:cs="Times New Roman"/>
          <w:color w:val="auto"/>
          <w:kern w:val="44"/>
          <w:sz w:val="36"/>
          <w:szCs w:val="36"/>
          <w:highlight w:val="none"/>
        </w:rPr>
        <w:t>实施保障</w:t>
      </w:r>
      <w:bookmarkEnd w:id="123"/>
      <w:bookmarkEnd w:id="124"/>
      <w:bookmarkEnd w:id="125"/>
      <w:bookmarkEnd w:id="126"/>
    </w:p>
    <w:p w14:paraId="5FD94295">
      <w:pPr>
        <w:spacing w:line="560" w:lineRule="exact"/>
        <w:ind w:firstLine="640" w:firstLineChars="200"/>
        <w:rPr>
          <w:color w:val="auto"/>
          <w:szCs w:val="32"/>
          <w:highlight w:val="none"/>
        </w:rPr>
      </w:pPr>
      <w:r>
        <w:rPr>
          <w:rFonts w:hint="eastAsia"/>
          <w:color w:val="auto"/>
          <w:szCs w:val="32"/>
          <w:highlight w:val="none"/>
        </w:rPr>
        <w:t>坚持党的全面领导，完善规划组织实施和监测评估机制，推动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建设政策措施落地见效，确保规划目标和任务如期完成。</w:t>
      </w:r>
    </w:p>
    <w:p w14:paraId="392504E2">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27" w:name="_Toc2665"/>
      <w:bookmarkStart w:id="128" w:name="_Toc4358"/>
      <w:bookmarkStart w:id="129" w:name="_Toc25688"/>
      <w:bookmarkStart w:id="130" w:name="_Toc13481"/>
      <w:r>
        <w:rPr>
          <w:rFonts w:hint="eastAsia" w:ascii="Times New Roman" w:hAnsi="Times New Roman" w:eastAsia="黑体" w:cs="黑体"/>
          <w:color w:val="auto"/>
          <w:sz w:val="32"/>
          <w:szCs w:val="32"/>
          <w:highlight w:val="none"/>
          <w:lang w:val="en-US" w:eastAsia="zh-CN"/>
        </w:rPr>
        <w:t>第一节 坚持党的领导</w:t>
      </w:r>
      <w:bookmarkEnd w:id="127"/>
      <w:bookmarkEnd w:id="128"/>
      <w:bookmarkEnd w:id="129"/>
      <w:bookmarkEnd w:id="130"/>
    </w:p>
    <w:p w14:paraId="50D24A57">
      <w:pPr>
        <w:spacing w:line="560" w:lineRule="exact"/>
        <w:ind w:firstLine="640" w:firstLineChars="200"/>
        <w:rPr>
          <w:color w:val="auto"/>
          <w:szCs w:val="32"/>
          <w:highlight w:val="none"/>
        </w:rPr>
      </w:pPr>
      <w:r>
        <w:rPr>
          <w:rFonts w:hint="eastAsia"/>
          <w:color w:val="auto"/>
          <w:szCs w:val="32"/>
          <w:highlight w:val="none"/>
        </w:rPr>
        <w:t>坚持和加强党的全面领导，充分发挥党总揽全局、协调各方的领导核心作用，把党的领导摆在进一步全面深化改革必须贯彻的原则首位，始终贯穿于</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建设各领域、全过程，坚持正确的改革方向和改革立场，确保</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改革开放工作不变质、不走样，始终沿着有利于党和人民事业发展的正确方向前进。全面贯彻新时代党的组织路线，打造高素质专业化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建设人才队伍。</w:t>
      </w:r>
    </w:p>
    <w:p w14:paraId="16AF00F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1" w:name="_Toc11200"/>
      <w:bookmarkStart w:id="132" w:name="_Toc18533"/>
      <w:bookmarkStart w:id="133" w:name="_Toc23348"/>
      <w:bookmarkStart w:id="134" w:name="_Toc20165"/>
      <w:r>
        <w:rPr>
          <w:rFonts w:hint="eastAsia" w:ascii="Times New Roman" w:hAnsi="Times New Roman" w:eastAsia="黑体" w:cs="黑体"/>
          <w:color w:val="auto"/>
          <w:sz w:val="32"/>
          <w:szCs w:val="32"/>
          <w:highlight w:val="none"/>
          <w:lang w:val="en-US" w:eastAsia="zh-CN"/>
        </w:rPr>
        <w:t>第二节 完善实施机制</w:t>
      </w:r>
      <w:bookmarkEnd w:id="131"/>
      <w:bookmarkEnd w:id="132"/>
      <w:bookmarkEnd w:id="133"/>
      <w:bookmarkEnd w:id="134"/>
    </w:p>
    <w:p w14:paraId="04F8FC37">
      <w:pPr>
        <w:spacing w:line="560" w:lineRule="exact"/>
        <w:ind w:firstLine="640" w:firstLineChars="200"/>
        <w:rPr>
          <w:color w:val="auto"/>
          <w:szCs w:val="32"/>
          <w:highlight w:val="none"/>
        </w:rPr>
      </w:pPr>
      <w:r>
        <w:rPr>
          <w:rFonts w:hint="eastAsia"/>
          <w:color w:val="auto"/>
          <w:szCs w:val="32"/>
          <w:highlight w:val="none"/>
        </w:rPr>
        <w:t>不断健全朝阳</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建设工作机制。朝阳区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工作领导小组负责</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建设发展和改革创新的总体谋划、统筹协调、整体推进、督促落实，领导小组办公室负责落实</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改革创新的各项工作部署，积极开展跨部门工作统筹、协调和督导。各成员单位认真落实本领域重点任务，完善各领域具体工作举措，强化常态化信息交流和政策沟通，形成工作合力。健全考核激励机制和容错纠错机制。推动优化调整自贸试验区布局范围。争取扩大改革任务授权，探索建立职责清晰的自贸试验区朝阳组团管理体制，建立纵向顺畅沟通、横向高效协调的自贸试验区运行机制。支持朝阳</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建设研究院等智库做大做强，更好发挥智力支撑作用。</w:t>
      </w:r>
    </w:p>
    <w:p w14:paraId="00626B6C">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5" w:name="_Toc14666"/>
      <w:bookmarkStart w:id="136" w:name="_Toc4516"/>
      <w:r>
        <w:rPr>
          <w:rFonts w:hint="eastAsia" w:ascii="Times New Roman" w:hAnsi="Times New Roman" w:eastAsia="黑体" w:cs="黑体"/>
          <w:color w:val="auto"/>
          <w:sz w:val="32"/>
          <w:szCs w:val="32"/>
          <w:highlight w:val="none"/>
          <w:lang w:val="en-US" w:eastAsia="zh-CN"/>
        </w:rPr>
        <w:t>第三节 防范化解风险</w:t>
      </w:r>
      <w:bookmarkEnd w:id="135"/>
      <w:bookmarkEnd w:id="136"/>
    </w:p>
    <w:p w14:paraId="7E1B2435">
      <w:pPr>
        <w:spacing w:line="560" w:lineRule="exact"/>
        <w:ind w:firstLine="640" w:firstLineChars="200"/>
        <w:rPr>
          <w:color w:val="auto"/>
          <w:szCs w:val="32"/>
          <w:highlight w:val="none"/>
        </w:rPr>
      </w:pPr>
      <w:r>
        <w:rPr>
          <w:rFonts w:hint="eastAsia"/>
          <w:color w:val="auto"/>
          <w:szCs w:val="32"/>
          <w:highlight w:val="none"/>
        </w:rPr>
        <w:t>坚持总体国家安全观，树立底线思维，防范化解</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开放创新各领域风险，筑牢</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发展安全屏障。加强监管科技应用，创新监管手段，积极利用大数据、人工智能、区块链等新技术赋能风险防控工作。紧扣商务系统安全生产管理相关要求，聚焦</w:t>
      </w:r>
      <w:r>
        <w:rPr>
          <w:rFonts w:hint="eastAsia"/>
          <w:color w:val="auto"/>
          <w:szCs w:val="32"/>
          <w:highlight w:val="none"/>
          <w:lang w:eastAsia="zh-CN"/>
        </w:rPr>
        <w:t>“两区”</w:t>
      </w:r>
      <w:r>
        <w:rPr>
          <w:rFonts w:hint="eastAsia"/>
          <w:color w:val="auto"/>
          <w:szCs w:val="32"/>
          <w:highlight w:val="none"/>
        </w:rPr>
        <w:t>重点领域，深入贯彻安全生产相关法律法规，强化安全风险源头管控。在贸易领域，重点防范化解外部冲击，扎实落实贸易调整援助措施，多方协同助企纾困。在跨境投资合作领域，深入贯彻外商投资信息报告制度，做好监督检查相关工作。</w:t>
      </w:r>
      <w:r>
        <w:rPr>
          <w:color w:val="auto"/>
          <w:szCs w:val="32"/>
          <w:highlight w:val="none"/>
        </w:rPr>
        <w:t>引导企业加强合规管理</w:t>
      </w:r>
      <w:r>
        <w:rPr>
          <w:rFonts w:hint="eastAsia"/>
          <w:color w:val="auto"/>
          <w:szCs w:val="32"/>
          <w:highlight w:val="none"/>
        </w:rPr>
        <w:t>，</w:t>
      </w:r>
      <w:r>
        <w:rPr>
          <w:color w:val="auto"/>
          <w:szCs w:val="32"/>
          <w:highlight w:val="none"/>
        </w:rPr>
        <w:t>规范海外经营行为</w:t>
      </w:r>
      <w:r>
        <w:rPr>
          <w:rFonts w:hint="eastAsia"/>
          <w:color w:val="auto"/>
          <w:szCs w:val="32"/>
          <w:highlight w:val="none"/>
        </w:rPr>
        <w:t>，</w:t>
      </w:r>
      <w:r>
        <w:rPr>
          <w:color w:val="auto"/>
          <w:szCs w:val="32"/>
          <w:highlight w:val="none"/>
        </w:rPr>
        <w:t>加强对外投资合作项目</w:t>
      </w:r>
      <w:r>
        <w:rPr>
          <w:rFonts w:hint="eastAsia"/>
          <w:color w:val="auto"/>
          <w:szCs w:val="32"/>
          <w:highlight w:val="none"/>
        </w:rPr>
        <w:t>利益保护和风险预警</w:t>
      </w:r>
      <w:r>
        <w:rPr>
          <w:color w:val="auto"/>
          <w:szCs w:val="32"/>
          <w:highlight w:val="none"/>
        </w:rPr>
        <w:t>。</w:t>
      </w:r>
      <w:r>
        <w:rPr>
          <w:rFonts w:hint="eastAsia"/>
          <w:color w:val="auto"/>
          <w:szCs w:val="32"/>
          <w:highlight w:val="none"/>
        </w:rPr>
        <w:t>在产业安全领域，促进开放创新和产业安全联动，科学评估</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开放创新、先行先试对产业发展的影响。全面落实金融</w:t>
      </w:r>
      <w:r>
        <w:rPr>
          <w:rFonts w:hint="eastAsia"/>
          <w:color w:val="auto"/>
          <w:szCs w:val="32"/>
          <w:highlight w:val="none"/>
          <w:lang w:eastAsia="zh-CN"/>
        </w:rPr>
        <w:t>“</w:t>
      </w:r>
      <w:r>
        <w:rPr>
          <w:rFonts w:hint="eastAsia"/>
          <w:color w:val="auto"/>
          <w:szCs w:val="32"/>
          <w:highlight w:val="none"/>
        </w:rPr>
        <w:t>五大监管</w:t>
      </w:r>
      <w:r>
        <w:rPr>
          <w:rFonts w:hint="eastAsia"/>
          <w:color w:val="auto"/>
          <w:szCs w:val="32"/>
          <w:highlight w:val="none"/>
          <w:lang w:eastAsia="zh-CN"/>
        </w:rPr>
        <w:t>”</w:t>
      </w:r>
      <w:r>
        <w:rPr>
          <w:rFonts w:hint="eastAsia"/>
          <w:color w:val="auto"/>
          <w:szCs w:val="32"/>
          <w:highlight w:val="none"/>
        </w:rPr>
        <w:t>，完善人工智能等重点产业、企业联系机制。促进国际产业安全合作，推动形成更多维护全球产业链供应链开放、稳定、安全、顺畅的示范项目。</w:t>
      </w:r>
    </w:p>
    <w:p w14:paraId="6587AF15">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7" w:name="_Toc21780"/>
      <w:bookmarkStart w:id="138" w:name="_Toc15072"/>
      <w:bookmarkStart w:id="139" w:name="_Toc20941"/>
      <w:bookmarkStart w:id="140" w:name="_Toc2339"/>
      <w:r>
        <w:rPr>
          <w:rFonts w:hint="eastAsia" w:ascii="Times New Roman" w:hAnsi="Times New Roman" w:eastAsia="黑体" w:cs="黑体"/>
          <w:color w:val="auto"/>
          <w:sz w:val="32"/>
          <w:szCs w:val="32"/>
          <w:highlight w:val="none"/>
          <w:lang w:val="en-US" w:eastAsia="zh-CN"/>
        </w:rPr>
        <w:t>第四节 加强监测评估</w:t>
      </w:r>
      <w:bookmarkEnd w:id="137"/>
      <w:bookmarkEnd w:id="138"/>
      <w:bookmarkEnd w:id="139"/>
      <w:bookmarkEnd w:id="140"/>
    </w:p>
    <w:p w14:paraId="6D9C2282">
      <w:pPr>
        <w:spacing w:line="560" w:lineRule="exact"/>
        <w:ind w:firstLine="640" w:firstLineChars="200"/>
        <w:rPr>
          <w:rFonts w:hint="eastAsia"/>
          <w:color w:val="auto"/>
          <w:szCs w:val="32"/>
          <w:highlight w:val="none"/>
        </w:rPr>
      </w:pPr>
      <w:r>
        <w:rPr>
          <w:rFonts w:hint="eastAsia"/>
          <w:color w:val="auto"/>
          <w:szCs w:val="32"/>
          <w:highlight w:val="none"/>
        </w:rPr>
        <w:t>做好与国家、市级、区级有关规划的衔接，强化本规划对有关规划实施的支撑作用。加强对规划落实的组织协调，积极做好宣讲宣传工作。动态跟踪重要领域开放、重大项目实施进展，适时对规划落实情况进行监测评价和总结评估，认真纾解实施过程中出现的问题困难。加强培训交流和经验分享，及时挖掘、育成、推广实施过程中形成的典型案例。</w:t>
      </w:r>
      <w:bookmarkEnd w:id="0"/>
    </w:p>
    <w:p w14:paraId="71DA6796">
      <w:pPr>
        <w:rPr>
          <w:rFonts w:hint="default" w:eastAsia="黑体" w:cs="Times New Roman"/>
          <w:color w:val="auto"/>
          <w:sz w:val="28"/>
          <w:szCs w:val="28"/>
          <w:highlight w:val="none"/>
          <w:lang w:val="en-US" w:eastAsia="zh-CN"/>
        </w:rPr>
      </w:pPr>
    </w:p>
    <w:p w14:paraId="74182C3B">
      <w:pPr>
        <w:pStyle w:val="13"/>
        <w:rPr>
          <w:rFonts w:hint="default" w:eastAsia="黑体" w:cs="Times New Roman"/>
          <w:color w:val="auto"/>
          <w:sz w:val="28"/>
          <w:szCs w:val="28"/>
          <w:highlight w:val="none"/>
          <w:lang w:val="en-US" w:eastAsia="zh-CN"/>
        </w:rPr>
      </w:pPr>
    </w:p>
    <w:sectPr>
      <w:headerReference r:id="rId10" w:type="default"/>
      <w:footerReference r:id="rId11" w:type="default"/>
      <w:pgSz w:w="11906" w:h="16838"/>
      <w:pgMar w:top="2098" w:right="1474" w:bottom="1984" w:left="1587"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B91C40-61FD-4C4D-A54F-1722A48876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E97C8D3-C976-46D9-9DC2-1CFEB95CE68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3" w:fontKey="{1A2EDA67-7BF6-460B-9E4E-34304819E8D6}"/>
  </w:font>
  <w:font w:name="楷体_GB2312">
    <w:panose1 w:val="02010609030101010101"/>
    <w:charset w:val="86"/>
    <w:family w:val="modern"/>
    <w:pitch w:val="default"/>
    <w:sig w:usb0="00000001" w:usb1="080E0000" w:usb2="00000000" w:usb3="00000000" w:csb0="00040000" w:csb1="00000000"/>
    <w:embedRegular r:id="rId4" w:fontKey="{4E50D07B-2375-481A-984A-3A5C1AFBA9B6}"/>
  </w:font>
  <w:font w:name="Segoe UI">
    <w:panose1 w:val="020B0502040204020203"/>
    <w:charset w:val="00"/>
    <w:family w:val="swiss"/>
    <w:pitch w:val="default"/>
    <w:sig w:usb0="E4002EFF" w:usb1="C000E47F" w:usb2="00000009" w:usb3="00000000" w:csb0="200001FF" w:csb1="00000000"/>
    <w:embedRegular r:id="rId5" w:fontKey="{E184A289-CE9C-4397-894B-31384623C9D1}"/>
  </w:font>
  <w:font w:name="等线">
    <w:panose1 w:val="02010600030101010101"/>
    <w:charset w:val="86"/>
    <w:family w:val="auto"/>
    <w:pitch w:val="default"/>
    <w:sig w:usb0="A00002BF" w:usb1="38CF7CFA" w:usb2="00000016" w:usb3="00000000" w:csb0="0004000F" w:csb1="00000000"/>
    <w:embedRegular r:id="rId6" w:fontKey="{8CCDB70D-4B78-4C9C-8EC8-6AF096C24912}"/>
  </w:font>
  <w:font w:name="仿宋">
    <w:panose1 w:val="02010609060101010101"/>
    <w:charset w:val="86"/>
    <w:family w:val="modern"/>
    <w:pitch w:val="default"/>
    <w:sig w:usb0="800002BF" w:usb1="38CF7CFA" w:usb2="00000016" w:usb3="00000000" w:csb0="00040001" w:csb1="00000000"/>
    <w:embedRegular r:id="rId7" w:fontKey="{A11F5FDA-11D9-4A1D-BA1D-BEDE58693DD8}"/>
  </w:font>
  <w:font w:name="WPSEMBED4">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BA650">
    <w:pPr>
      <w:pStyle w:val="17"/>
    </w:pPr>
  </w:p>
  <w:p w14:paraId="7EB32AD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3A92A">
    <w:pPr>
      <w:pStyle w:val="1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04BCE">
    <w:pPr>
      <w:pStyle w:val="17"/>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820D4">
    <w:pPr>
      <w:pStyle w:val="1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49910" cy="1727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49910" cy="172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7697"/>
                          </w:sdtPr>
                          <w:sdtContent>
                            <w:p w14:paraId="19EA3DBC">
                              <w:pPr>
                                <w:pStyle w:val="17"/>
                                <w:jc w:val="center"/>
                              </w:pPr>
                              <w:r>
                                <w:fldChar w:fldCharType="begin"/>
                              </w:r>
                              <w:r>
                                <w:instrText xml:space="preserve">PAGE   \* MERGEFORMAT</w:instrText>
                              </w:r>
                              <w:r>
                                <w:fldChar w:fldCharType="separate"/>
                              </w:r>
                              <w:r>
                                <w:rPr>
                                  <w:lang w:val="zh-CN"/>
                                </w:rPr>
                                <w:t>2</w:t>
                              </w:r>
                              <w:r>
                                <w:fldChar w:fldCharType="end"/>
                              </w:r>
                            </w:p>
                          </w:sdtContent>
                        </w:sdt>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3.6pt;width:43.3pt;mso-position-horizontal:center;mso-position-horizontal-relative:margin;z-index:251660288;mso-width-relative:page;mso-height-relative:page;" filled="f" stroked="f" coordsize="21600,21600" o:gfxdata="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24zj/TAAAAAwEAAA8AAAAAAAAAAQAgAAAAIgAAAGRycy9kb3ducmV2Lnht&#10;bFBLAQIUABQAAAAIAIdO4kAjOeN7NwIAAGEEAAAOAAAAAAAAAAEAIAAAACIBAABkcnMvZTJvRG9j&#10;LnhtbFBLBQYAAAAABgAGAFkBAADLBQAAAAA=&#10;">
              <v:fill on="f" focussize="0,0"/>
              <v:stroke on="f" weight="0.5pt"/>
              <v:imagedata o:title=""/>
              <o:lock v:ext="edit" aspectratio="f"/>
              <v:textbox inset="0mm,0mm,0mm,0mm">
                <w:txbxContent>
                  <w:sdt>
                    <w:sdtPr>
                      <w:id w:val="147477697"/>
                    </w:sdtPr>
                    <w:sdtContent>
                      <w:p w14:paraId="19EA3DBC">
                        <w:pPr>
                          <w:pStyle w:val="17"/>
                          <w:jc w:val="center"/>
                        </w:pPr>
                        <w:r>
                          <w:fldChar w:fldCharType="begin"/>
                        </w:r>
                        <w:r>
                          <w:instrText xml:space="preserve">PAGE   \* MERGEFORMAT</w:instrText>
                        </w:r>
                        <w:r>
                          <w:fldChar w:fldCharType="separate"/>
                        </w:r>
                        <w:r>
                          <w:rPr>
                            <w:lang w:val="zh-CN"/>
                          </w:rPr>
                          <w:t>2</w:t>
                        </w:r>
                        <w:r>
                          <w:fldChar w:fldCharType="end"/>
                        </w:r>
                      </w:p>
                    </w:sdtContent>
                  </w:sdt>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87999">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664"/>
                          </w:sdtPr>
                          <w:sdtContent>
                            <w:p w14:paraId="066044B1">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57664"/>
                    </w:sdtPr>
                    <w:sdtContent>
                      <w:p w14:paraId="066044B1">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6377D2FC">
      <w:pPr>
        <w:pStyle w:val="21"/>
        <w:snapToGrid w:val="0"/>
      </w:pPr>
      <w:r>
        <w:rPr>
          <w:rStyle w:val="34"/>
        </w:rPr>
        <w:footnoteRef/>
      </w:r>
      <w:r>
        <w:rPr>
          <w:sz w:val="24"/>
          <w:szCs w:val="24"/>
        </w:rPr>
        <w:t xml:space="preserve"> </w:t>
      </w:r>
      <w:r>
        <w:rPr>
          <w:rFonts w:hint="eastAsia"/>
          <w:sz w:val="24"/>
          <w:szCs w:val="24"/>
        </w:rPr>
        <w:t>“两区”建设一批突破性政策、一批标志性项目、一批示范性平台</w:t>
      </w:r>
    </w:p>
  </w:footnote>
  <w:footnote w:id="1">
    <w:p w14:paraId="56C22B78">
      <w:pPr>
        <w:pStyle w:val="21"/>
        <w:snapToGrid w:val="0"/>
        <w:rPr>
          <w:rFonts w:hint="default" w:eastAsia="仿宋_GB2312"/>
          <w:sz w:val="24"/>
          <w:szCs w:val="24"/>
          <w:lang w:val="en-US" w:eastAsia="zh-CN"/>
        </w:rPr>
      </w:pPr>
      <w:r>
        <w:rPr>
          <w:rStyle w:val="34"/>
          <w:rFonts w:hint="default"/>
          <w:sz w:val="24"/>
          <w:szCs w:val="24"/>
        </w:rPr>
        <w:footnoteRef/>
      </w:r>
      <w:r>
        <w:rPr>
          <w:rFonts w:hint="default"/>
          <w:sz w:val="24"/>
          <w:szCs w:val="24"/>
        </w:rPr>
        <w:t xml:space="preserve"> </w:t>
      </w:r>
      <w:r>
        <w:rPr>
          <w:rFonts w:hint="default"/>
          <w:sz w:val="24"/>
          <w:szCs w:val="24"/>
          <w:lang w:val="en-US" w:eastAsia="zh-CN"/>
        </w:rPr>
        <w:t>“1+1+N”科技创新政策体系，涵盖高新技术产业发展、中小企业梯度培育以及互联网3.0、人工智能、数据要素、数字医疗等细分领域政策。</w:t>
      </w:r>
    </w:p>
  </w:footnote>
  <w:footnote w:id="2">
    <w:p w14:paraId="11499784">
      <w:pPr>
        <w:pStyle w:val="21"/>
        <w:rPr>
          <w:rFonts w:hint="eastAsia"/>
        </w:rPr>
      </w:pPr>
      <w:r>
        <w:rPr>
          <w:rStyle w:val="34"/>
        </w:rPr>
        <w:footnoteRef/>
      </w:r>
      <w:r>
        <w:t xml:space="preserve"> </w:t>
      </w:r>
      <w:r>
        <w:rPr>
          <w:rFonts w:hint="eastAsia" w:ascii="Times New Roman" w:hAnsi="Times New Roman" w:eastAsia="仿宋_GB2312"/>
          <w:color w:val="000000" w:themeColor="text1"/>
          <w:sz w:val="24"/>
          <w14:textFill>
            <w14:solidFill>
              <w14:schemeClr w14:val="tx1"/>
            </w14:solidFill>
          </w14:textFill>
        </w:rPr>
        <w:t>《北京市朝阳区国民经济和社会发展第十五个五年规划纲要》指标◆</w:t>
      </w:r>
    </w:p>
    <w:p w14:paraId="7E65274A">
      <w:pPr>
        <w:pStyle w:val="21"/>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A1CB">
    <w:pPr>
      <w:pStyle w:val="18"/>
    </w:pPr>
  </w:p>
  <w:p w14:paraId="625FB9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A0659">
    <w:pPr>
      <w:pStyle w:val="18"/>
    </w:pPr>
  </w:p>
  <w:p w14:paraId="12911CD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8A5AB">
    <w:pPr>
      <w:pStyle w:val="18"/>
    </w:pPr>
  </w:p>
  <w:p w14:paraId="64F5062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TrueTypeFonts/>
  <w:saveSubsetFonts/>
  <w:bordersDoNotSurroundHeader w:val="0"/>
  <w:bordersDoNotSurroundFooter w:val="0"/>
  <w:documentProtection w:enforcement="0"/>
  <w:defaultTabStop w:val="420"/>
  <w:drawingGridHorizontalSpacing w:val="160"/>
  <w:drawingGridVerticalSpacing w:val="221"/>
  <w:displayHorizontalDrawingGridEvery w:val="1"/>
  <w:displayVerticalDrawingGridEvery w:val="1"/>
  <w:noPunctuationKerning w:val="1"/>
  <w:characterSpacingControl w:val="compressPunctuation"/>
  <w:footnotePr>
    <w:numRestart w:val="eachSect"/>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FF"/>
    <w:rsid w:val="00005AC8"/>
    <w:rsid w:val="00020206"/>
    <w:rsid w:val="00027CC0"/>
    <w:rsid w:val="00040DA7"/>
    <w:rsid w:val="000437F9"/>
    <w:rsid w:val="00051235"/>
    <w:rsid w:val="00056EF4"/>
    <w:rsid w:val="00065D23"/>
    <w:rsid w:val="00077941"/>
    <w:rsid w:val="00086B77"/>
    <w:rsid w:val="000906BE"/>
    <w:rsid w:val="000940DE"/>
    <w:rsid w:val="0009737F"/>
    <w:rsid w:val="00097E9C"/>
    <w:rsid w:val="000B3DEC"/>
    <w:rsid w:val="000E1D39"/>
    <w:rsid w:val="000E2B83"/>
    <w:rsid w:val="000F3BC8"/>
    <w:rsid w:val="001046AF"/>
    <w:rsid w:val="00105434"/>
    <w:rsid w:val="00107934"/>
    <w:rsid w:val="00112932"/>
    <w:rsid w:val="00117B01"/>
    <w:rsid w:val="0012319C"/>
    <w:rsid w:val="00142F4D"/>
    <w:rsid w:val="00166287"/>
    <w:rsid w:val="00182675"/>
    <w:rsid w:val="001924F4"/>
    <w:rsid w:val="001B470A"/>
    <w:rsid w:val="001C1D5B"/>
    <w:rsid w:val="001D11DD"/>
    <w:rsid w:val="001E21D3"/>
    <w:rsid w:val="001E2838"/>
    <w:rsid w:val="00202FCF"/>
    <w:rsid w:val="002064C8"/>
    <w:rsid w:val="00211839"/>
    <w:rsid w:val="0021506A"/>
    <w:rsid w:val="002150FC"/>
    <w:rsid w:val="002235CA"/>
    <w:rsid w:val="00227CBD"/>
    <w:rsid w:val="00232EDD"/>
    <w:rsid w:val="002368E2"/>
    <w:rsid w:val="00240521"/>
    <w:rsid w:val="00240728"/>
    <w:rsid w:val="00240F80"/>
    <w:rsid w:val="00251429"/>
    <w:rsid w:val="00253966"/>
    <w:rsid w:val="0026261F"/>
    <w:rsid w:val="002638FB"/>
    <w:rsid w:val="00281B3A"/>
    <w:rsid w:val="00282FE6"/>
    <w:rsid w:val="002840B1"/>
    <w:rsid w:val="00290B75"/>
    <w:rsid w:val="002911B9"/>
    <w:rsid w:val="00292490"/>
    <w:rsid w:val="00294160"/>
    <w:rsid w:val="002A5277"/>
    <w:rsid w:val="002B73A4"/>
    <w:rsid w:val="002C1B15"/>
    <w:rsid w:val="002C6359"/>
    <w:rsid w:val="002D37BC"/>
    <w:rsid w:val="002E7014"/>
    <w:rsid w:val="00300177"/>
    <w:rsid w:val="00303C54"/>
    <w:rsid w:val="00306E35"/>
    <w:rsid w:val="00311603"/>
    <w:rsid w:val="00313C28"/>
    <w:rsid w:val="00314CA5"/>
    <w:rsid w:val="00347023"/>
    <w:rsid w:val="00355404"/>
    <w:rsid w:val="00361C49"/>
    <w:rsid w:val="00364EF5"/>
    <w:rsid w:val="003752C8"/>
    <w:rsid w:val="00382A14"/>
    <w:rsid w:val="00385772"/>
    <w:rsid w:val="0038666F"/>
    <w:rsid w:val="00392CF9"/>
    <w:rsid w:val="00394899"/>
    <w:rsid w:val="003B2418"/>
    <w:rsid w:val="003D06BF"/>
    <w:rsid w:val="003D14D6"/>
    <w:rsid w:val="003D4B0E"/>
    <w:rsid w:val="003E061E"/>
    <w:rsid w:val="003E0EB7"/>
    <w:rsid w:val="003F17B3"/>
    <w:rsid w:val="003F46EB"/>
    <w:rsid w:val="003F79F3"/>
    <w:rsid w:val="00422F77"/>
    <w:rsid w:val="00423263"/>
    <w:rsid w:val="004271BF"/>
    <w:rsid w:val="004315EE"/>
    <w:rsid w:val="00431D65"/>
    <w:rsid w:val="0045654F"/>
    <w:rsid w:val="00463708"/>
    <w:rsid w:val="004650EB"/>
    <w:rsid w:val="00467A99"/>
    <w:rsid w:val="0047136E"/>
    <w:rsid w:val="004713B1"/>
    <w:rsid w:val="00475AEC"/>
    <w:rsid w:val="00483127"/>
    <w:rsid w:val="004831D0"/>
    <w:rsid w:val="00492819"/>
    <w:rsid w:val="004A4484"/>
    <w:rsid w:val="004A5345"/>
    <w:rsid w:val="004B44D1"/>
    <w:rsid w:val="004C2666"/>
    <w:rsid w:val="004C5C5A"/>
    <w:rsid w:val="004D2296"/>
    <w:rsid w:val="004F2ED6"/>
    <w:rsid w:val="00501006"/>
    <w:rsid w:val="005176AD"/>
    <w:rsid w:val="00523BC2"/>
    <w:rsid w:val="005260AF"/>
    <w:rsid w:val="005265FC"/>
    <w:rsid w:val="005347A7"/>
    <w:rsid w:val="00542EA2"/>
    <w:rsid w:val="00556FCA"/>
    <w:rsid w:val="0055755A"/>
    <w:rsid w:val="0056149B"/>
    <w:rsid w:val="00564ACC"/>
    <w:rsid w:val="005653AD"/>
    <w:rsid w:val="00565D0A"/>
    <w:rsid w:val="00577829"/>
    <w:rsid w:val="00577CFA"/>
    <w:rsid w:val="00582305"/>
    <w:rsid w:val="005921BC"/>
    <w:rsid w:val="00596011"/>
    <w:rsid w:val="005A4E1B"/>
    <w:rsid w:val="005C1706"/>
    <w:rsid w:val="005C44AF"/>
    <w:rsid w:val="005C6240"/>
    <w:rsid w:val="005C765A"/>
    <w:rsid w:val="005D36E0"/>
    <w:rsid w:val="005D3C98"/>
    <w:rsid w:val="00601CE1"/>
    <w:rsid w:val="00610424"/>
    <w:rsid w:val="00641A77"/>
    <w:rsid w:val="00642F8F"/>
    <w:rsid w:val="00643CF0"/>
    <w:rsid w:val="00645106"/>
    <w:rsid w:val="00647379"/>
    <w:rsid w:val="00647C05"/>
    <w:rsid w:val="00652411"/>
    <w:rsid w:val="00653825"/>
    <w:rsid w:val="00655D8A"/>
    <w:rsid w:val="00667FA4"/>
    <w:rsid w:val="0067426E"/>
    <w:rsid w:val="006742EA"/>
    <w:rsid w:val="006825FF"/>
    <w:rsid w:val="00692092"/>
    <w:rsid w:val="006938E2"/>
    <w:rsid w:val="006A66D0"/>
    <w:rsid w:val="006B412E"/>
    <w:rsid w:val="006C6962"/>
    <w:rsid w:val="006D30D8"/>
    <w:rsid w:val="006D4A01"/>
    <w:rsid w:val="006D59FB"/>
    <w:rsid w:val="006E1253"/>
    <w:rsid w:val="006E237E"/>
    <w:rsid w:val="006E422F"/>
    <w:rsid w:val="006F6F36"/>
    <w:rsid w:val="006F758D"/>
    <w:rsid w:val="00702588"/>
    <w:rsid w:val="007034D7"/>
    <w:rsid w:val="00705405"/>
    <w:rsid w:val="0072032C"/>
    <w:rsid w:val="00721033"/>
    <w:rsid w:val="00731963"/>
    <w:rsid w:val="00733A5D"/>
    <w:rsid w:val="00744B40"/>
    <w:rsid w:val="007559BB"/>
    <w:rsid w:val="0077131A"/>
    <w:rsid w:val="00776B61"/>
    <w:rsid w:val="00780B4E"/>
    <w:rsid w:val="00781EBD"/>
    <w:rsid w:val="00793E00"/>
    <w:rsid w:val="007A3406"/>
    <w:rsid w:val="007B57D5"/>
    <w:rsid w:val="007D00FA"/>
    <w:rsid w:val="007E40B6"/>
    <w:rsid w:val="007E7310"/>
    <w:rsid w:val="007F30D7"/>
    <w:rsid w:val="0080732E"/>
    <w:rsid w:val="0082118D"/>
    <w:rsid w:val="008236FF"/>
    <w:rsid w:val="00823ADA"/>
    <w:rsid w:val="00836DF9"/>
    <w:rsid w:val="00845AC9"/>
    <w:rsid w:val="00852B1C"/>
    <w:rsid w:val="008624BA"/>
    <w:rsid w:val="008646AF"/>
    <w:rsid w:val="008770A5"/>
    <w:rsid w:val="00891690"/>
    <w:rsid w:val="008945A9"/>
    <w:rsid w:val="0089559F"/>
    <w:rsid w:val="008A1763"/>
    <w:rsid w:val="008A3366"/>
    <w:rsid w:val="008B11B6"/>
    <w:rsid w:val="008D1507"/>
    <w:rsid w:val="008F117F"/>
    <w:rsid w:val="008F7AEF"/>
    <w:rsid w:val="00901ABE"/>
    <w:rsid w:val="00902361"/>
    <w:rsid w:val="00904743"/>
    <w:rsid w:val="009064E5"/>
    <w:rsid w:val="0091169D"/>
    <w:rsid w:val="0091336E"/>
    <w:rsid w:val="00914B22"/>
    <w:rsid w:val="00917002"/>
    <w:rsid w:val="009236ED"/>
    <w:rsid w:val="00923E93"/>
    <w:rsid w:val="009306F8"/>
    <w:rsid w:val="00964E4D"/>
    <w:rsid w:val="0096746D"/>
    <w:rsid w:val="00976978"/>
    <w:rsid w:val="00976CD5"/>
    <w:rsid w:val="009A4C9D"/>
    <w:rsid w:val="009B00ED"/>
    <w:rsid w:val="009B1346"/>
    <w:rsid w:val="009C39B2"/>
    <w:rsid w:val="009E022F"/>
    <w:rsid w:val="009E483C"/>
    <w:rsid w:val="009F0EF9"/>
    <w:rsid w:val="00A121AF"/>
    <w:rsid w:val="00A12926"/>
    <w:rsid w:val="00A1316D"/>
    <w:rsid w:val="00A14682"/>
    <w:rsid w:val="00A24859"/>
    <w:rsid w:val="00A25D21"/>
    <w:rsid w:val="00A3327B"/>
    <w:rsid w:val="00A36BD9"/>
    <w:rsid w:val="00A5553D"/>
    <w:rsid w:val="00A567D3"/>
    <w:rsid w:val="00A64E1A"/>
    <w:rsid w:val="00A828FC"/>
    <w:rsid w:val="00A92BF9"/>
    <w:rsid w:val="00A977FB"/>
    <w:rsid w:val="00AA0487"/>
    <w:rsid w:val="00AB2ADF"/>
    <w:rsid w:val="00AC5476"/>
    <w:rsid w:val="00AE2280"/>
    <w:rsid w:val="00AE2B82"/>
    <w:rsid w:val="00B000E3"/>
    <w:rsid w:val="00B01A8D"/>
    <w:rsid w:val="00B1154F"/>
    <w:rsid w:val="00B13A86"/>
    <w:rsid w:val="00B13AAB"/>
    <w:rsid w:val="00B230D5"/>
    <w:rsid w:val="00B2567D"/>
    <w:rsid w:val="00B3088C"/>
    <w:rsid w:val="00B314CE"/>
    <w:rsid w:val="00B3212F"/>
    <w:rsid w:val="00B321FD"/>
    <w:rsid w:val="00B40AE1"/>
    <w:rsid w:val="00B45333"/>
    <w:rsid w:val="00B53896"/>
    <w:rsid w:val="00B54733"/>
    <w:rsid w:val="00B561ED"/>
    <w:rsid w:val="00B632CB"/>
    <w:rsid w:val="00B639DC"/>
    <w:rsid w:val="00B70C1B"/>
    <w:rsid w:val="00B71171"/>
    <w:rsid w:val="00B81E83"/>
    <w:rsid w:val="00BB1226"/>
    <w:rsid w:val="00BB2914"/>
    <w:rsid w:val="00BC3569"/>
    <w:rsid w:val="00BD3C98"/>
    <w:rsid w:val="00BE6829"/>
    <w:rsid w:val="00BF7888"/>
    <w:rsid w:val="00C12505"/>
    <w:rsid w:val="00C33D4C"/>
    <w:rsid w:val="00C35B03"/>
    <w:rsid w:val="00C40B5C"/>
    <w:rsid w:val="00C413B4"/>
    <w:rsid w:val="00C43D07"/>
    <w:rsid w:val="00C47C0F"/>
    <w:rsid w:val="00C5103A"/>
    <w:rsid w:val="00C528D4"/>
    <w:rsid w:val="00C901E0"/>
    <w:rsid w:val="00C975B2"/>
    <w:rsid w:val="00CA33B8"/>
    <w:rsid w:val="00CB15D8"/>
    <w:rsid w:val="00CB289B"/>
    <w:rsid w:val="00CB53C8"/>
    <w:rsid w:val="00CB5A10"/>
    <w:rsid w:val="00CB5ADB"/>
    <w:rsid w:val="00CD02A0"/>
    <w:rsid w:val="00CD1191"/>
    <w:rsid w:val="00CE014C"/>
    <w:rsid w:val="00CE0B0C"/>
    <w:rsid w:val="00CF387E"/>
    <w:rsid w:val="00CF587A"/>
    <w:rsid w:val="00D06255"/>
    <w:rsid w:val="00D25892"/>
    <w:rsid w:val="00D2643F"/>
    <w:rsid w:val="00D31DC4"/>
    <w:rsid w:val="00D35883"/>
    <w:rsid w:val="00D4022F"/>
    <w:rsid w:val="00D40D69"/>
    <w:rsid w:val="00D434F2"/>
    <w:rsid w:val="00D57DA2"/>
    <w:rsid w:val="00D61B16"/>
    <w:rsid w:val="00D61D7C"/>
    <w:rsid w:val="00D62D20"/>
    <w:rsid w:val="00D800A4"/>
    <w:rsid w:val="00D90985"/>
    <w:rsid w:val="00D97284"/>
    <w:rsid w:val="00DB1E9F"/>
    <w:rsid w:val="00DB5920"/>
    <w:rsid w:val="00DC2D40"/>
    <w:rsid w:val="00DD1821"/>
    <w:rsid w:val="00DD54F5"/>
    <w:rsid w:val="00DD74CF"/>
    <w:rsid w:val="00DE0078"/>
    <w:rsid w:val="00DE20B0"/>
    <w:rsid w:val="00DE344C"/>
    <w:rsid w:val="00DF02A7"/>
    <w:rsid w:val="00DF4626"/>
    <w:rsid w:val="00E0227E"/>
    <w:rsid w:val="00E15814"/>
    <w:rsid w:val="00E205E0"/>
    <w:rsid w:val="00E218AC"/>
    <w:rsid w:val="00E25335"/>
    <w:rsid w:val="00E256A3"/>
    <w:rsid w:val="00E36005"/>
    <w:rsid w:val="00E3738D"/>
    <w:rsid w:val="00E4769D"/>
    <w:rsid w:val="00E53E03"/>
    <w:rsid w:val="00E57321"/>
    <w:rsid w:val="00E630A6"/>
    <w:rsid w:val="00E6559F"/>
    <w:rsid w:val="00E74650"/>
    <w:rsid w:val="00E81778"/>
    <w:rsid w:val="00E94131"/>
    <w:rsid w:val="00EA2040"/>
    <w:rsid w:val="00EA336D"/>
    <w:rsid w:val="00EB02DD"/>
    <w:rsid w:val="00EB4CA9"/>
    <w:rsid w:val="00EB4D37"/>
    <w:rsid w:val="00EB7BAD"/>
    <w:rsid w:val="00EC7F78"/>
    <w:rsid w:val="00ED1467"/>
    <w:rsid w:val="00ED73DB"/>
    <w:rsid w:val="00EE46B3"/>
    <w:rsid w:val="00EF092B"/>
    <w:rsid w:val="00F136D1"/>
    <w:rsid w:val="00F151A1"/>
    <w:rsid w:val="00F32C57"/>
    <w:rsid w:val="00F40FAF"/>
    <w:rsid w:val="00F47562"/>
    <w:rsid w:val="00F64F49"/>
    <w:rsid w:val="00F77153"/>
    <w:rsid w:val="00F806DE"/>
    <w:rsid w:val="00F876E2"/>
    <w:rsid w:val="00F90007"/>
    <w:rsid w:val="00F930EB"/>
    <w:rsid w:val="00FA2F8E"/>
    <w:rsid w:val="00FB3672"/>
    <w:rsid w:val="00FB542A"/>
    <w:rsid w:val="00FD27CC"/>
    <w:rsid w:val="00FD5D91"/>
    <w:rsid w:val="00FE2BFC"/>
    <w:rsid w:val="00FE6306"/>
    <w:rsid w:val="01094653"/>
    <w:rsid w:val="01284C10"/>
    <w:rsid w:val="012A6BDB"/>
    <w:rsid w:val="013D4D2C"/>
    <w:rsid w:val="01462E04"/>
    <w:rsid w:val="01657C13"/>
    <w:rsid w:val="016D4D19"/>
    <w:rsid w:val="016E2F6B"/>
    <w:rsid w:val="01710365"/>
    <w:rsid w:val="017B01C8"/>
    <w:rsid w:val="019071DD"/>
    <w:rsid w:val="01A62DC7"/>
    <w:rsid w:val="01A7022B"/>
    <w:rsid w:val="01A85D51"/>
    <w:rsid w:val="01B97F5E"/>
    <w:rsid w:val="01C54B55"/>
    <w:rsid w:val="01C90280"/>
    <w:rsid w:val="01F8010F"/>
    <w:rsid w:val="02260629"/>
    <w:rsid w:val="022B2C0A"/>
    <w:rsid w:val="0249777F"/>
    <w:rsid w:val="024D5CC0"/>
    <w:rsid w:val="024F2C06"/>
    <w:rsid w:val="025F28B4"/>
    <w:rsid w:val="02616578"/>
    <w:rsid w:val="02647ECA"/>
    <w:rsid w:val="02931FE6"/>
    <w:rsid w:val="031E10AD"/>
    <w:rsid w:val="031E4326"/>
    <w:rsid w:val="03206264"/>
    <w:rsid w:val="03321D76"/>
    <w:rsid w:val="033A1899"/>
    <w:rsid w:val="03411FB9"/>
    <w:rsid w:val="035A307B"/>
    <w:rsid w:val="0362386A"/>
    <w:rsid w:val="03693997"/>
    <w:rsid w:val="036F2FCB"/>
    <w:rsid w:val="03807BEB"/>
    <w:rsid w:val="03977E2B"/>
    <w:rsid w:val="03987FD5"/>
    <w:rsid w:val="039C5442"/>
    <w:rsid w:val="03B25EC6"/>
    <w:rsid w:val="03C86237"/>
    <w:rsid w:val="03E5503B"/>
    <w:rsid w:val="03FD05D6"/>
    <w:rsid w:val="03FD2384"/>
    <w:rsid w:val="03FE7EAB"/>
    <w:rsid w:val="040000C7"/>
    <w:rsid w:val="04006E28"/>
    <w:rsid w:val="04112491"/>
    <w:rsid w:val="041E0E23"/>
    <w:rsid w:val="043C7FE0"/>
    <w:rsid w:val="04406715"/>
    <w:rsid w:val="046C12B8"/>
    <w:rsid w:val="04990D1C"/>
    <w:rsid w:val="04A265E8"/>
    <w:rsid w:val="04B0693C"/>
    <w:rsid w:val="04B30C95"/>
    <w:rsid w:val="04EB6588"/>
    <w:rsid w:val="04F05A45"/>
    <w:rsid w:val="05216546"/>
    <w:rsid w:val="05223346"/>
    <w:rsid w:val="054A784B"/>
    <w:rsid w:val="055D6F64"/>
    <w:rsid w:val="056A1C9B"/>
    <w:rsid w:val="056D30B8"/>
    <w:rsid w:val="05A827C4"/>
    <w:rsid w:val="05B2719F"/>
    <w:rsid w:val="05B848F0"/>
    <w:rsid w:val="05BE1FE7"/>
    <w:rsid w:val="05D0448C"/>
    <w:rsid w:val="05D32DBB"/>
    <w:rsid w:val="05D94950"/>
    <w:rsid w:val="05EC4069"/>
    <w:rsid w:val="05FB726A"/>
    <w:rsid w:val="05FB774E"/>
    <w:rsid w:val="06070243"/>
    <w:rsid w:val="061834A6"/>
    <w:rsid w:val="06361118"/>
    <w:rsid w:val="06417432"/>
    <w:rsid w:val="065564A8"/>
    <w:rsid w:val="0664493D"/>
    <w:rsid w:val="067508F8"/>
    <w:rsid w:val="0676641E"/>
    <w:rsid w:val="06874471"/>
    <w:rsid w:val="06C13B3D"/>
    <w:rsid w:val="06CA3C05"/>
    <w:rsid w:val="06CD24E2"/>
    <w:rsid w:val="06E72E78"/>
    <w:rsid w:val="06E93094"/>
    <w:rsid w:val="07075913"/>
    <w:rsid w:val="072F4F4B"/>
    <w:rsid w:val="07442078"/>
    <w:rsid w:val="076369A2"/>
    <w:rsid w:val="076C793C"/>
    <w:rsid w:val="07700D4F"/>
    <w:rsid w:val="07704F50"/>
    <w:rsid w:val="079254DA"/>
    <w:rsid w:val="07930932"/>
    <w:rsid w:val="079B25E0"/>
    <w:rsid w:val="07C93CE1"/>
    <w:rsid w:val="07EA70C4"/>
    <w:rsid w:val="0806451E"/>
    <w:rsid w:val="08202885"/>
    <w:rsid w:val="08515927"/>
    <w:rsid w:val="085D1644"/>
    <w:rsid w:val="085D5CAA"/>
    <w:rsid w:val="08634780"/>
    <w:rsid w:val="08867CB8"/>
    <w:rsid w:val="08D13DE0"/>
    <w:rsid w:val="08D33112"/>
    <w:rsid w:val="08EB30F3"/>
    <w:rsid w:val="08F33D56"/>
    <w:rsid w:val="09072E8D"/>
    <w:rsid w:val="09102B5A"/>
    <w:rsid w:val="0920259C"/>
    <w:rsid w:val="09244C8E"/>
    <w:rsid w:val="09297E40"/>
    <w:rsid w:val="095F13EB"/>
    <w:rsid w:val="095F5C9B"/>
    <w:rsid w:val="096A04BC"/>
    <w:rsid w:val="096E7880"/>
    <w:rsid w:val="0972111F"/>
    <w:rsid w:val="09776735"/>
    <w:rsid w:val="097906FF"/>
    <w:rsid w:val="099638B5"/>
    <w:rsid w:val="09976A11"/>
    <w:rsid w:val="099F7A3A"/>
    <w:rsid w:val="09AD65FB"/>
    <w:rsid w:val="09B554AF"/>
    <w:rsid w:val="09C1130A"/>
    <w:rsid w:val="09C91966"/>
    <w:rsid w:val="09D17929"/>
    <w:rsid w:val="09D548F7"/>
    <w:rsid w:val="09FE24B3"/>
    <w:rsid w:val="0A1026E6"/>
    <w:rsid w:val="0A6273E5"/>
    <w:rsid w:val="0A747118"/>
    <w:rsid w:val="0A7E1D45"/>
    <w:rsid w:val="0A822188"/>
    <w:rsid w:val="0A951569"/>
    <w:rsid w:val="0AA17496"/>
    <w:rsid w:val="0AA7304A"/>
    <w:rsid w:val="0AA96DC2"/>
    <w:rsid w:val="0AC62ADE"/>
    <w:rsid w:val="0AC80CFE"/>
    <w:rsid w:val="0ACC485F"/>
    <w:rsid w:val="0AD4630C"/>
    <w:rsid w:val="0AE4604C"/>
    <w:rsid w:val="0AFB3591"/>
    <w:rsid w:val="0B0037CD"/>
    <w:rsid w:val="0B043FF8"/>
    <w:rsid w:val="0B1240B8"/>
    <w:rsid w:val="0B156206"/>
    <w:rsid w:val="0B161F7E"/>
    <w:rsid w:val="0B4129EE"/>
    <w:rsid w:val="0B4270DD"/>
    <w:rsid w:val="0B440899"/>
    <w:rsid w:val="0B492353"/>
    <w:rsid w:val="0B596D63"/>
    <w:rsid w:val="0B6902FF"/>
    <w:rsid w:val="0B6B4EFC"/>
    <w:rsid w:val="0B833D7C"/>
    <w:rsid w:val="0B9176F8"/>
    <w:rsid w:val="0B9F3D21"/>
    <w:rsid w:val="0BAE21B6"/>
    <w:rsid w:val="0BB21CA6"/>
    <w:rsid w:val="0BB772BD"/>
    <w:rsid w:val="0BD47E6F"/>
    <w:rsid w:val="0BE93904"/>
    <w:rsid w:val="0BEB51B8"/>
    <w:rsid w:val="0C143FBD"/>
    <w:rsid w:val="0C480E8B"/>
    <w:rsid w:val="0C525237"/>
    <w:rsid w:val="0C5B233E"/>
    <w:rsid w:val="0C6C62F9"/>
    <w:rsid w:val="0C7B02EA"/>
    <w:rsid w:val="0C84350E"/>
    <w:rsid w:val="0C880C59"/>
    <w:rsid w:val="0C8D626F"/>
    <w:rsid w:val="0C9D2956"/>
    <w:rsid w:val="0CAA0BCF"/>
    <w:rsid w:val="0CAB771F"/>
    <w:rsid w:val="0CBF0098"/>
    <w:rsid w:val="0CCC6D98"/>
    <w:rsid w:val="0D4E0C2D"/>
    <w:rsid w:val="0D51729D"/>
    <w:rsid w:val="0D5F5E5E"/>
    <w:rsid w:val="0D742E4A"/>
    <w:rsid w:val="0D976D4A"/>
    <w:rsid w:val="0D9806CB"/>
    <w:rsid w:val="0DAF6CC4"/>
    <w:rsid w:val="0DDA3736"/>
    <w:rsid w:val="0DF828A2"/>
    <w:rsid w:val="0E010CC3"/>
    <w:rsid w:val="0E0662D9"/>
    <w:rsid w:val="0E0F50C9"/>
    <w:rsid w:val="0E252C04"/>
    <w:rsid w:val="0E5C414B"/>
    <w:rsid w:val="0E5F13A4"/>
    <w:rsid w:val="0E770F85"/>
    <w:rsid w:val="0EAB7808"/>
    <w:rsid w:val="0EEE7499"/>
    <w:rsid w:val="0F1C1DF0"/>
    <w:rsid w:val="0F25113D"/>
    <w:rsid w:val="0F255378"/>
    <w:rsid w:val="0F3A448D"/>
    <w:rsid w:val="0F6565D0"/>
    <w:rsid w:val="0F751969"/>
    <w:rsid w:val="0FD04DF1"/>
    <w:rsid w:val="0FE268D2"/>
    <w:rsid w:val="10115355"/>
    <w:rsid w:val="101856FC"/>
    <w:rsid w:val="105132F8"/>
    <w:rsid w:val="10991687"/>
    <w:rsid w:val="10992032"/>
    <w:rsid w:val="10C72560"/>
    <w:rsid w:val="10C761F4"/>
    <w:rsid w:val="10EA0B23"/>
    <w:rsid w:val="10ED3781"/>
    <w:rsid w:val="110103D0"/>
    <w:rsid w:val="1122258A"/>
    <w:rsid w:val="112C24FB"/>
    <w:rsid w:val="114E2471"/>
    <w:rsid w:val="11567578"/>
    <w:rsid w:val="11586E4C"/>
    <w:rsid w:val="11625F1D"/>
    <w:rsid w:val="118B3D10"/>
    <w:rsid w:val="11925510"/>
    <w:rsid w:val="11A26319"/>
    <w:rsid w:val="11A93B4C"/>
    <w:rsid w:val="11BB73DB"/>
    <w:rsid w:val="11C444E1"/>
    <w:rsid w:val="11D434DA"/>
    <w:rsid w:val="11D91136"/>
    <w:rsid w:val="12192A7F"/>
    <w:rsid w:val="121C60CC"/>
    <w:rsid w:val="12282CC2"/>
    <w:rsid w:val="123237CC"/>
    <w:rsid w:val="125C296C"/>
    <w:rsid w:val="12737CD4"/>
    <w:rsid w:val="127C6B6A"/>
    <w:rsid w:val="12B427A8"/>
    <w:rsid w:val="12C86253"/>
    <w:rsid w:val="12CE7342"/>
    <w:rsid w:val="12CF75E2"/>
    <w:rsid w:val="12D20E80"/>
    <w:rsid w:val="12D40754"/>
    <w:rsid w:val="13281702"/>
    <w:rsid w:val="13573133"/>
    <w:rsid w:val="136A10B9"/>
    <w:rsid w:val="13787898"/>
    <w:rsid w:val="137D1D14"/>
    <w:rsid w:val="13883EFF"/>
    <w:rsid w:val="13BC2E64"/>
    <w:rsid w:val="13D11138"/>
    <w:rsid w:val="13DD7ADC"/>
    <w:rsid w:val="13EB21F9"/>
    <w:rsid w:val="13F922BA"/>
    <w:rsid w:val="14161D78"/>
    <w:rsid w:val="148937C0"/>
    <w:rsid w:val="14D10691"/>
    <w:rsid w:val="14FE5F5C"/>
    <w:rsid w:val="152240A0"/>
    <w:rsid w:val="15253679"/>
    <w:rsid w:val="1537641D"/>
    <w:rsid w:val="15595889"/>
    <w:rsid w:val="15653949"/>
    <w:rsid w:val="156A1D3D"/>
    <w:rsid w:val="15732731"/>
    <w:rsid w:val="15763D45"/>
    <w:rsid w:val="158D108E"/>
    <w:rsid w:val="15973CBB"/>
    <w:rsid w:val="15A420A7"/>
    <w:rsid w:val="15A6703D"/>
    <w:rsid w:val="15BB3E4D"/>
    <w:rsid w:val="15BE6C39"/>
    <w:rsid w:val="15D514D7"/>
    <w:rsid w:val="15D8030F"/>
    <w:rsid w:val="15E038B4"/>
    <w:rsid w:val="15F31684"/>
    <w:rsid w:val="15FC6DAB"/>
    <w:rsid w:val="1600454E"/>
    <w:rsid w:val="160E21CF"/>
    <w:rsid w:val="160E7877"/>
    <w:rsid w:val="16290DB7"/>
    <w:rsid w:val="163A7468"/>
    <w:rsid w:val="16492D73"/>
    <w:rsid w:val="16560858"/>
    <w:rsid w:val="1658458D"/>
    <w:rsid w:val="16594B0E"/>
    <w:rsid w:val="166E0EC0"/>
    <w:rsid w:val="16776537"/>
    <w:rsid w:val="16970417"/>
    <w:rsid w:val="169843B0"/>
    <w:rsid w:val="169B35F3"/>
    <w:rsid w:val="16A064EA"/>
    <w:rsid w:val="16A707D1"/>
    <w:rsid w:val="16B40FC8"/>
    <w:rsid w:val="16CE51CA"/>
    <w:rsid w:val="16E8193A"/>
    <w:rsid w:val="16E82A20"/>
    <w:rsid w:val="16ED6288"/>
    <w:rsid w:val="17254197"/>
    <w:rsid w:val="174817BF"/>
    <w:rsid w:val="17546308"/>
    <w:rsid w:val="176A3953"/>
    <w:rsid w:val="176A77AC"/>
    <w:rsid w:val="177809FB"/>
    <w:rsid w:val="17810C39"/>
    <w:rsid w:val="178169D1"/>
    <w:rsid w:val="17A01031"/>
    <w:rsid w:val="17A07BA9"/>
    <w:rsid w:val="17A76437"/>
    <w:rsid w:val="17DD454F"/>
    <w:rsid w:val="17E175E6"/>
    <w:rsid w:val="17E807C1"/>
    <w:rsid w:val="180F343D"/>
    <w:rsid w:val="181F542D"/>
    <w:rsid w:val="182061EA"/>
    <w:rsid w:val="18294C4F"/>
    <w:rsid w:val="183E32DD"/>
    <w:rsid w:val="185A16FC"/>
    <w:rsid w:val="187E1712"/>
    <w:rsid w:val="1882225E"/>
    <w:rsid w:val="188350F6"/>
    <w:rsid w:val="18891FE1"/>
    <w:rsid w:val="18B03A11"/>
    <w:rsid w:val="18D56FD4"/>
    <w:rsid w:val="18F070F9"/>
    <w:rsid w:val="18F953B8"/>
    <w:rsid w:val="190E4E8A"/>
    <w:rsid w:val="19263CD4"/>
    <w:rsid w:val="192D2251"/>
    <w:rsid w:val="19322678"/>
    <w:rsid w:val="193A01D5"/>
    <w:rsid w:val="193B777F"/>
    <w:rsid w:val="19406B43"/>
    <w:rsid w:val="19502AFF"/>
    <w:rsid w:val="19595E57"/>
    <w:rsid w:val="196A1E12"/>
    <w:rsid w:val="197A1A8A"/>
    <w:rsid w:val="197E58BE"/>
    <w:rsid w:val="19AB5133"/>
    <w:rsid w:val="19BD7FEB"/>
    <w:rsid w:val="19C770B8"/>
    <w:rsid w:val="19D35C0A"/>
    <w:rsid w:val="19D674A8"/>
    <w:rsid w:val="19E27BFB"/>
    <w:rsid w:val="19E33973"/>
    <w:rsid w:val="19EE30F9"/>
    <w:rsid w:val="1A0F00C1"/>
    <w:rsid w:val="1A1A3C2D"/>
    <w:rsid w:val="1A2C531A"/>
    <w:rsid w:val="1A312930"/>
    <w:rsid w:val="1A367F46"/>
    <w:rsid w:val="1A4E703E"/>
    <w:rsid w:val="1A7A42D7"/>
    <w:rsid w:val="1A821DAF"/>
    <w:rsid w:val="1A845156"/>
    <w:rsid w:val="1A8E2B0E"/>
    <w:rsid w:val="1A9D7FC6"/>
    <w:rsid w:val="1AAB2C18"/>
    <w:rsid w:val="1AC47300"/>
    <w:rsid w:val="1ACE0C11"/>
    <w:rsid w:val="1ADD03C2"/>
    <w:rsid w:val="1AE479A2"/>
    <w:rsid w:val="1AF9622C"/>
    <w:rsid w:val="1B083691"/>
    <w:rsid w:val="1B1D417E"/>
    <w:rsid w:val="1B2C36F3"/>
    <w:rsid w:val="1B2D0A72"/>
    <w:rsid w:val="1B2D1349"/>
    <w:rsid w:val="1B2D759B"/>
    <w:rsid w:val="1B356450"/>
    <w:rsid w:val="1B4037E4"/>
    <w:rsid w:val="1B486183"/>
    <w:rsid w:val="1B4D40A2"/>
    <w:rsid w:val="1B6B6A28"/>
    <w:rsid w:val="1B86198C"/>
    <w:rsid w:val="1B8D003A"/>
    <w:rsid w:val="1B9A52D6"/>
    <w:rsid w:val="1BB05AD7"/>
    <w:rsid w:val="1BB43819"/>
    <w:rsid w:val="1BBD7433"/>
    <w:rsid w:val="1BBE4697"/>
    <w:rsid w:val="1BCB1A35"/>
    <w:rsid w:val="1BD629AC"/>
    <w:rsid w:val="1BF14125"/>
    <w:rsid w:val="1BF737EE"/>
    <w:rsid w:val="1C351B7A"/>
    <w:rsid w:val="1C406E5A"/>
    <w:rsid w:val="1C534DE0"/>
    <w:rsid w:val="1C5F360A"/>
    <w:rsid w:val="1C7D00AF"/>
    <w:rsid w:val="1C874A89"/>
    <w:rsid w:val="1C896768"/>
    <w:rsid w:val="1C93342E"/>
    <w:rsid w:val="1C9B0535"/>
    <w:rsid w:val="1CA473E9"/>
    <w:rsid w:val="1CA90EA4"/>
    <w:rsid w:val="1CD42007"/>
    <w:rsid w:val="1CED2442"/>
    <w:rsid w:val="1D0460DA"/>
    <w:rsid w:val="1D0D31E0"/>
    <w:rsid w:val="1D2624F4"/>
    <w:rsid w:val="1D2B17F6"/>
    <w:rsid w:val="1D5232E9"/>
    <w:rsid w:val="1D632E00"/>
    <w:rsid w:val="1D6C1818"/>
    <w:rsid w:val="1D6C6CEF"/>
    <w:rsid w:val="1D880AB9"/>
    <w:rsid w:val="1DA358F3"/>
    <w:rsid w:val="1DA41231"/>
    <w:rsid w:val="1DE468CF"/>
    <w:rsid w:val="1DEC011B"/>
    <w:rsid w:val="1DF47EFC"/>
    <w:rsid w:val="1DFB1F67"/>
    <w:rsid w:val="1E164317"/>
    <w:rsid w:val="1E2A29E5"/>
    <w:rsid w:val="1E2E00BE"/>
    <w:rsid w:val="1E592455"/>
    <w:rsid w:val="1E5E2FCF"/>
    <w:rsid w:val="1E8C282B"/>
    <w:rsid w:val="1EA248E5"/>
    <w:rsid w:val="1EB7367A"/>
    <w:rsid w:val="1EBB25E9"/>
    <w:rsid w:val="1EC73863"/>
    <w:rsid w:val="1ED26B54"/>
    <w:rsid w:val="1EDA17E8"/>
    <w:rsid w:val="1EF1268E"/>
    <w:rsid w:val="1F0C107C"/>
    <w:rsid w:val="1F3535E1"/>
    <w:rsid w:val="1F6F375E"/>
    <w:rsid w:val="1FC102B2"/>
    <w:rsid w:val="1FC658C9"/>
    <w:rsid w:val="1FDA60EA"/>
    <w:rsid w:val="1FFA4D94"/>
    <w:rsid w:val="1FFF119C"/>
    <w:rsid w:val="20107003"/>
    <w:rsid w:val="20132363"/>
    <w:rsid w:val="2023248F"/>
    <w:rsid w:val="202645B9"/>
    <w:rsid w:val="202D565F"/>
    <w:rsid w:val="203114F7"/>
    <w:rsid w:val="2031368A"/>
    <w:rsid w:val="204A290C"/>
    <w:rsid w:val="20692E24"/>
    <w:rsid w:val="20824806"/>
    <w:rsid w:val="20AC77B9"/>
    <w:rsid w:val="20B46395"/>
    <w:rsid w:val="20C279F7"/>
    <w:rsid w:val="20CC33B3"/>
    <w:rsid w:val="20E23EC5"/>
    <w:rsid w:val="20FA1716"/>
    <w:rsid w:val="211B1C44"/>
    <w:rsid w:val="213A031C"/>
    <w:rsid w:val="213D4D82"/>
    <w:rsid w:val="215A6C10"/>
    <w:rsid w:val="21666882"/>
    <w:rsid w:val="21780E44"/>
    <w:rsid w:val="217952E8"/>
    <w:rsid w:val="218D29F7"/>
    <w:rsid w:val="21983295"/>
    <w:rsid w:val="21A70001"/>
    <w:rsid w:val="21B3391D"/>
    <w:rsid w:val="21DE6525"/>
    <w:rsid w:val="21DF6961"/>
    <w:rsid w:val="21F20BF7"/>
    <w:rsid w:val="220426D8"/>
    <w:rsid w:val="220A5F40"/>
    <w:rsid w:val="22281DDC"/>
    <w:rsid w:val="222B4109"/>
    <w:rsid w:val="223A3362"/>
    <w:rsid w:val="22486A69"/>
    <w:rsid w:val="224A0A33"/>
    <w:rsid w:val="2258613F"/>
    <w:rsid w:val="22623FCE"/>
    <w:rsid w:val="226A05C6"/>
    <w:rsid w:val="226D3868"/>
    <w:rsid w:val="226F3FF6"/>
    <w:rsid w:val="22721D38"/>
    <w:rsid w:val="22731247"/>
    <w:rsid w:val="22933E36"/>
    <w:rsid w:val="22A1798B"/>
    <w:rsid w:val="22A7378F"/>
    <w:rsid w:val="22DF561F"/>
    <w:rsid w:val="22F17100"/>
    <w:rsid w:val="22F62969"/>
    <w:rsid w:val="230E76DD"/>
    <w:rsid w:val="231856D1"/>
    <w:rsid w:val="23205AE3"/>
    <w:rsid w:val="232079E6"/>
    <w:rsid w:val="23306861"/>
    <w:rsid w:val="23773193"/>
    <w:rsid w:val="238F6F41"/>
    <w:rsid w:val="23994DE7"/>
    <w:rsid w:val="23DA1943"/>
    <w:rsid w:val="23E24D11"/>
    <w:rsid w:val="23FE03B4"/>
    <w:rsid w:val="240176DA"/>
    <w:rsid w:val="2419690F"/>
    <w:rsid w:val="24284DA4"/>
    <w:rsid w:val="2435126F"/>
    <w:rsid w:val="24480FA2"/>
    <w:rsid w:val="24723109"/>
    <w:rsid w:val="247937E1"/>
    <w:rsid w:val="247973AD"/>
    <w:rsid w:val="247C41AC"/>
    <w:rsid w:val="249B19C2"/>
    <w:rsid w:val="24A10C0D"/>
    <w:rsid w:val="24AB32DF"/>
    <w:rsid w:val="24B71C84"/>
    <w:rsid w:val="24B76F52"/>
    <w:rsid w:val="24B774A2"/>
    <w:rsid w:val="24CC572F"/>
    <w:rsid w:val="24CD14A7"/>
    <w:rsid w:val="24E862E1"/>
    <w:rsid w:val="250255F5"/>
    <w:rsid w:val="25203CCD"/>
    <w:rsid w:val="253B22C4"/>
    <w:rsid w:val="253C34CB"/>
    <w:rsid w:val="25485291"/>
    <w:rsid w:val="255F47F5"/>
    <w:rsid w:val="2563191C"/>
    <w:rsid w:val="2564610F"/>
    <w:rsid w:val="256533FF"/>
    <w:rsid w:val="257456E6"/>
    <w:rsid w:val="25A93CC2"/>
    <w:rsid w:val="25B06DFF"/>
    <w:rsid w:val="25BD26B2"/>
    <w:rsid w:val="25D91A6B"/>
    <w:rsid w:val="25E92311"/>
    <w:rsid w:val="25F717E6"/>
    <w:rsid w:val="25FF38E2"/>
    <w:rsid w:val="26045116"/>
    <w:rsid w:val="26082307"/>
    <w:rsid w:val="261C26E6"/>
    <w:rsid w:val="263D0137"/>
    <w:rsid w:val="265A4FBD"/>
    <w:rsid w:val="2660135F"/>
    <w:rsid w:val="26661BB3"/>
    <w:rsid w:val="266767D6"/>
    <w:rsid w:val="26941F54"/>
    <w:rsid w:val="26A32AB6"/>
    <w:rsid w:val="26AF46EB"/>
    <w:rsid w:val="26E01966"/>
    <w:rsid w:val="27383B65"/>
    <w:rsid w:val="273C5127"/>
    <w:rsid w:val="274041B2"/>
    <w:rsid w:val="274A6DDF"/>
    <w:rsid w:val="27624129"/>
    <w:rsid w:val="276A247E"/>
    <w:rsid w:val="27A75611"/>
    <w:rsid w:val="27AC01CF"/>
    <w:rsid w:val="27B13189"/>
    <w:rsid w:val="27D17500"/>
    <w:rsid w:val="27D84E81"/>
    <w:rsid w:val="27E50DCB"/>
    <w:rsid w:val="27F75178"/>
    <w:rsid w:val="282A360E"/>
    <w:rsid w:val="28441A80"/>
    <w:rsid w:val="284D302B"/>
    <w:rsid w:val="285A12A4"/>
    <w:rsid w:val="28600C26"/>
    <w:rsid w:val="28824772"/>
    <w:rsid w:val="28A20C44"/>
    <w:rsid w:val="28AC286E"/>
    <w:rsid w:val="28AD3ACA"/>
    <w:rsid w:val="28DB0637"/>
    <w:rsid w:val="291624C7"/>
    <w:rsid w:val="29281765"/>
    <w:rsid w:val="293164A9"/>
    <w:rsid w:val="29422464"/>
    <w:rsid w:val="294F692F"/>
    <w:rsid w:val="29533C3A"/>
    <w:rsid w:val="29592FF7"/>
    <w:rsid w:val="297F673D"/>
    <w:rsid w:val="298B4A0C"/>
    <w:rsid w:val="29B45561"/>
    <w:rsid w:val="29C05E6C"/>
    <w:rsid w:val="29C55A1E"/>
    <w:rsid w:val="29DA269C"/>
    <w:rsid w:val="29DF7CB3"/>
    <w:rsid w:val="29F651B2"/>
    <w:rsid w:val="29FE0131"/>
    <w:rsid w:val="29FF1BC6"/>
    <w:rsid w:val="2A094F0B"/>
    <w:rsid w:val="2A57508D"/>
    <w:rsid w:val="2A7D127A"/>
    <w:rsid w:val="2A9E13F0"/>
    <w:rsid w:val="2ABE0E38"/>
    <w:rsid w:val="2AD510B6"/>
    <w:rsid w:val="2AD61BA3"/>
    <w:rsid w:val="2ADC2444"/>
    <w:rsid w:val="2AF4611D"/>
    <w:rsid w:val="2AFD6B06"/>
    <w:rsid w:val="2B1716CE"/>
    <w:rsid w:val="2B2636BF"/>
    <w:rsid w:val="2B45448D"/>
    <w:rsid w:val="2B7A4853"/>
    <w:rsid w:val="2B842AF5"/>
    <w:rsid w:val="2B876854"/>
    <w:rsid w:val="2B9148CE"/>
    <w:rsid w:val="2B9A774E"/>
    <w:rsid w:val="2BA20235"/>
    <w:rsid w:val="2BAF3823"/>
    <w:rsid w:val="2BB67139"/>
    <w:rsid w:val="2BBC3AD5"/>
    <w:rsid w:val="2BBD4024"/>
    <w:rsid w:val="2BE27F2E"/>
    <w:rsid w:val="2C183A8B"/>
    <w:rsid w:val="2C2A4B81"/>
    <w:rsid w:val="2C475FE3"/>
    <w:rsid w:val="2C4C207D"/>
    <w:rsid w:val="2C5A5D16"/>
    <w:rsid w:val="2C697D08"/>
    <w:rsid w:val="2C71417D"/>
    <w:rsid w:val="2C750454"/>
    <w:rsid w:val="2C901738"/>
    <w:rsid w:val="2C950AFD"/>
    <w:rsid w:val="2CA3146B"/>
    <w:rsid w:val="2CA31AF1"/>
    <w:rsid w:val="2CAD5E46"/>
    <w:rsid w:val="2CBC4B07"/>
    <w:rsid w:val="2CD051D7"/>
    <w:rsid w:val="2CD47877"/>
    <w:rsid w:val="2CE43832"/>
    <w:rsid w:val="2CE83322"/>
    <w:rsid w:val="2CFC6DCE"/>
    <w:rsid w:val="2D0363AE"/>
    <w:rsid w:val="2D1138FA"/>
    <w:rsid w:val="2D157E8F"/>
    <w:rsid w:val="2D2325AC"/>
    <w:rsid w:val="2D360531"/>
    <w:rsid w:val="2D377783"/>
    <w:rsid w:val="2D3B5B48"/>
    <w:rsid w:val="2D652BC5"/>
    <w:rsid w:val="2D751144"/>
    <w:rsid w:val="2D844C86"/>
    <w:rsid w:val="2D8B6194"/>
    <w:rsid w:val="2DA03BFD"/>
    <w:rsid w:val="2DAE3AF1"/>
    <w:rsid w:val="2DCC2C44"/>
    <w:rsid w:val="2DF504E4"/>
    <w:rsid w:val="2DFB0019"/>
    <w:rsid w:val="2E0A72C8"/>
    <w:rsid w:val="2E344345"/>
    <w:rsid w:val="2E412564"/>
    <w:rsid w:val="2E420150"/>
    <w:rsid w:val="2E490C17"/>
    <w:rsid w:val="2E5C372A"/>
    <w:rsid w:val="2E7035CF"/>
    <w:rsid w:val="2E76157E"/>
    <w:rsid w:val="2EBC0064"/>
    <w:rsid w:val="2EBE07DF"/>
    <w:rsid w:val="2EC4572A"/>
    <w:rsid w:val="2EDA4EED"/>
    <w:rsid w:val="2EDE49DD"/>
    <w:rsid w:val="2EE265FC"/>
    <w:rsid w:val="2F000DF7"/>
    <w:rsid w:val="2F05640D"/>
    <w:rsid w:val="2F204FF5"/>
    <w:rsid w:val="2F2443BA"/>
    <w:rsid w:val="2F3E36CD"/>
    <w:rsid w:val="2F5C3B54"/>
    <w:rsid w:val="2F5C7FF7"/>
    <w:rsid w:val="2F7607DF"/>
    <w:rsid w:val="2FB14AB3"/>
    <w:rsid w:val="2FBB7789"/>
    <w:rsid w:val="2FC02B94"/>
    <w:rsid w:val="2FC5751F"/>
    <w:rsid w:val="2FD005A7"/>
    <w:rsid w:val="2FD14A36"/>
    <w:rsid w:val="2FE86F0A"/>
    <w:rsid w:val="2FEA115F"/>
    <w:rsid w:val="30077F63"/>
    <w:rsid w:val="3008021A"/>
    <w:rsid w:val="3034687E"/>
    <w:rsid w:val="303845C1"/>
    <w:rsid w:val="3062519A"/>
    <w:rsid w:val="30664F8D"/>
    <w:rsid w:val="307211AB"/>
    <w:rsid w:val="30823A8E"/>
    <w:rsid w:val="30887125"/>
    <w:rsid w:val="30AB3B60"/>
    <w:rsid w:val="30D37E45"/>
    <w:rsid w:val="30DD2A72"/>
    <w:rsid w:val="30EE7F3A"/>
    <w:rsid w:val="30FA1876"/>
    <w:rsid w:val="31091C4D"/>
    <w:rsid w:val="311B77D4"/>
    <w:rsid w:val="31440D43"/>
    <w:rsid w:val="314B20D2"/>
    <w:rsid w:val="31516632"/>
    <w:rsid w:val="3159659D"/>
    <w:rsid w:val="315A40C3"/>
    <w:rsid w:val="31610484"/>
    <w:rsid w:val="31796C3F"/>
    <w:rsid w:val="319E0453"/>
    <w:rsid w:val="31A27BD7"/>
    <w:rsid w:val="31B423DC"/>
    <w:rsid w:val="31B934DF"/>
    <w:rsid w:val="31DC0B78"/>
    <w:rsid w:val="31E22A36"/>
    <w:rsid w:val="31FE0EF2"/>
    <w:rsid w:val="32056724"/>
    <w:rsid w:val="3221146F"/>
    <w:rsid w:val="32290665"/>
    <w:rsid w:val="3231094A"/>
    <w:rsid w:val="32326DEE"/>
    <w:rsid w:val="323E39E4"/>
    <w:rsid w:val="32482970"/>
    <w:rsid w:val="326E6078"/>
    <w:rsid w:val="32737B32"/>
    <w:rsid w:val="328755E1"/>
    <w:rsid w:val="32902492"/>
    <w:rsid w:val="32A85BD7"/>
    <w:rsid w:val="32AC4DF2"/>
    <w:rsid w:val="32AE46C6"/>
    <w:rsid w:val="32B75C71"/>
    <w:rsid w:val="32B85545"/>
    <w:rsid w:val="32BA5AA4"/>
    <w:rsid w:val="32CA457B"/>
    <w:rsid w:val="32D305D1"/>
    <w:rsid w:val="32DC0916"/>
    <w:rsid w:val="32E1682B"/>
    <w:rsid w:val="32ED680E"/>
    <w:rsid w:val="33150C65"/>
    <w:rsid w:val="331D1D86"/>
    <w:rsid w:val="3329376B"/>
    <w:rsid w:val="33470EA9"/>
    <w:rsid w:val="33525D42"/>
    <w:rsid w:val="338E4D16"/>
    <w:rsid w:val="3390201E"/>
    <w:rsid w:val="33AB6E58"/>
    <w:rsid w:val="33E60D63"/>
    <w:rsid w:val="33E62303"/>
    <w:rsid w:val="33EC621D"/>
    <w:rsid w:val="33F05CCA"/>
    <w:rsid w:val="33FD528E"/>
    <w:rsid w:val="33FE342B"/>
    <w:rsid w:val="3400694E"/>
    <w:rsid w:val="341906CF"/>
    <w:rsid w:val="341B5ED8"/>
    <w:rsid w:val="341F1E4D"/>
    <w:rsid w:val="342D3D10"/>
    <w:rsid w:val="344A3B64"/>
    <w:rsid w:val="34547DD4"/>
    <w:rsid w:val="345C13C1"/>
    <w:rsid w:val="345D2848"/>
    <w:rsid w:val="347E456C"/>
    <w:rsid w:val="34915A0B"/>
    <w:rsid w:val="3498562E"/>
    <w:rsid w:val="34B21AF2"/>
    <w:rsid w:val="34B33B3D"/>
    <w:rsid w:val="34B65AB4"/>
    <w:rsid w:val="34C63AFF"/>
    <w:rsid w:val="34DA3E98"/>
    <w:rsid w:val="34E940DB"/>
    <w:rsid w:val="34EA6CA7"/>
    <w:rsid w:val="35056B8C"/>
    <w:rsid w:val="35134CB4"/>
    <w:rsid w:val="35337105"/>
    <w:rsid w:val="353E3C50"/>
    <w:rsid w:val="354B7D36"/>
    <w:rsid w:val="354C01C6"/>
    <w:rsid w:val="355B5B8A"/>
    <w:rsid w:val="355D6CD6"/>
    <w:rsid w:val="356D61AA"/>
    <w:rsid w:val="357061DD"/>
    <w:rsid w:val="35727C2D"/>
    <w:rsid w:val="35760FBE"/>
    <w:rsid w:val="35773495"/>
    <w:rsid w:val="35984485"/>
    <w:rsid w:val="35A02B5B"/>
    <w:rsid w:val="35B93AAE"/>
    <w:rsid w:val="35CE335E"/>
    <w:rsid w:val="35F04FF6"/>
    <w:rsid w:val="360845AB"/>
    <w:rsid w:val="36121410"/>
    <w:rsid w:val="3634137B"/>
    <w:rsid w:val="365C7602"/>
    <w:rsid w:val="365E28A7"/>
    <w:rsid w:val="367D277F"/>
    <w:rsid w:val="367E0853"/>
    <w:rsid w:val="36863E2A"/>
    <w:rsid w:val="36B6623F"/>
    <w:rsid w:val="36D7427D"/>
    <w:rsid w:val="37305FF2"/>
    <w:rsid w:val="373E7191"/>
    <w:rsid w:val="37480C40"/>
    <w:rsid w:val="3752113A"/>
    <w:rsid w:val="37705B01"/>
    <w:rsid w:val="37773844"/>
    <w:rsid w:val="37906A90"/>
    <w:rsid w:val="37A34A15"/>
    <w:rsid w:val="37A778DB"/>
    <w:rsid w:val="37AB38CA"/>
    <w:rsid w:val="37B92507"/>
    <w:rsid w:val="37BD53AB"/>
    <w:rsid w:val="37C242B9"/>
    <w:rsid w:val="37DF3518"/>
    <w:rsid w:val="37EB016A"/>
    <w:rsid w:val="3801561D"/>
    <w:rsid w:val="38084878"/>
    <w:rsid w:val="380F5C07"/>
    <w:rsid w:val="381629B5"/>
    <w:rsid w:val="381C0D85"/>
    <w:rsid w:val="383E029A"/>
    <w:rsid w:val="385C2E16"/>
    <w:rsid w:val="388D1222"/>
    <w:rsid w:val="38934C91"/>
    <w:rsid w:val="38D155B2"/>
    <w:rsid w:val="38E0521C"/>
    <w:rsid w:val="38E62D50"/>
    <w:rsid w:val="38EE054F"/>
    <w:rsid w:val="38EF5A38"/>
    <w:rsid w:val="38EF6DE0"/>
    <w:rsid w:val="38FF0049"/>
    <w:rsid w:val="390342C0"/>
    <w:rsid w:val="39111E53"/>
    <w:rsid w:val="39140DAC"/>
    <w:rsid w:val="392B4CC2"/>
    <w:rsid w:val="3937509F"/>
    <w:rsid w:val="393B03B4"/>
    <w:rsid w:val="393E7E78"/>
    <w:rsid w:val="39600FB8"/>
    <w:rsid w:val="39677CC5"/>
    <w:rsid w:val="397A4C51"/>
    <w:rsid w:val="39910957"/>
    <w:rsid w:val="39AB7BB1"/>
    <w:rsid w:val="39CD59D6"/>
    <w:rsid w:val="39F6683D"/>
    <w:rsid w:val="39FF1EC0"/>
    <w:rsid w:val="3A15327D"/>
    <w:rsid w:val="3A166C30"/>
    <w:rsid w:val="3A4122C4"/>
    <w:rsid w:val="3A43603C"/>
    <w:rsid w:val="3A453284"/>
    <w:rsid w:val="3A6366DE"/>
    <w:rsid w:val="3A6B53FF"/>
    <w:rsid w:val="3A804B9A"/>
    <w:rsid w:val="3A8F74D3"/>
    <w:rsid w:val="3AAF36D1"/>
    <w:rsid w:val="3AB245E8"/>
    <w:rsid w:val="3AD14283"/>
    <w:rsid w:val="3AD27CFB"/>
    <w:rsid w:val="3ADB7DE8"/>
    <w:rsid w:val="3ADF3E9E"/>
    <w:rsid w:val="3B043A1D"/>
    <w:rsid w:val="3B17379D"/>
    <w:rsid w:val="3B1A14A3"/>
    <w:rsid w:val="3B2530D0"/>
    <w:rsid w:val="3B2C087E"/>
    <w:rsid w:val="3B345211"/>
    <w:rsid w:val="3B55660B"/>
    <w:rsid w:val="3B7A3CDF"/>
    <w:rsid w:val="3BA26D92"/>
    <w:rsid w:val="3BB70A8F"/>
    <w:rsid w:val="3BBF000F"/>
    <w:rsid w:val="3BC20340"/>
    <w:rsid w:val="3BC76B3F"/>
    <w:rsid w:val="3BDE4D0E"/>
    <w:rsid w:val="3C1A2DCC"/>
    <w:rsid w:val="3C4041CF"/>
    <w:rsid w:val="3C503CEB"/>
    <w:rsid w:val="3C7649D1"/>
    <w:rsid w:val="3C8037BF"/>
    <w:rsid w:val="3C862210"/>
    <w:rsid w:val="3C8A6140"/>
    <w:rsid w:val="3C8C0DEF"/>
    <w:rsid w:val="3CB12230"/>
    <w:rsid w:val="3CB57577"/>
    <w:rsid w:val="3CB7061B"/>
    <w:rsid w:val="3CFC0724"/>
    <w:rsid w:val="3D08573B"/>
    <w:rsid w:val="3D1B185B"/>
    <w:rsid w:val="3D2A703F"/>
    <w:rsid w:val="3D543D88"/>
    <w:rsid w:val="3D8C7CFA"/>
    <w:rsid w:val="3D9D0272"/>
    <w:rsid w:val="3DB81ECF"/>
    <w:rsid w:val="3DD86A9B"/>
    <w:rsid w:val="3DD86EA7"/>
    <w:rsid w:val="3E0521D4"/>
    <w:rsid w:val="3E0E070F"/>
    <w:rsid w:val="3E226ED5"/>
    <w:rsid w:val="3E2C35CD"/>
    <w:rsid w:val="3E3E0131"/>
    <w:rsid w:val="3E522CF1"/>
    <w:rsid w:val="3E720C9E"/>
    <w:rsid w:val="3E950E30"/>
    <w:rsid w:val="3EA66B99"/>
    <w:rsid w:val="3EB041A8"/>
    <w:rsid w:val="3EBA2645"/>
    <w:rsid w:val="3ECD2378"/>
    <w:rsid w:val="3EF5367D"/>
    <w:rsid w:val="3EF618CF"/>
    <w:rsid w:val="3F0424DF"/>
    <w:rsid w:val="3F181B62"/>
    <w:rsid w:val="3F4E0716"/>
    <w:rsid w:val="3F5C43D8"/>
    <w:rsid w:val="3F653929"/>
    <w:rsid w:val="3F827606"/>
    <w:rsid w:val="3FC1012F"/>
    <w:rsid w:val="3FD00372"/>
    <w:rsid w:val="3FD31C10"/>
    <w:rsid w:val="3FEC2CD2"/>
    <w:rsid w:val="3FF817E0"/>
    <w:rsid w:val="400431C4"/>
    <w:rsid w:val="40112738"/>
    <w:rsid w:val="402C30CE"/>
    <w:rsid w:val="405204BF"/>
    <w:rsid w:val="40580367"/>
    <w:rsid w:val="405D5027"/>
    <w:rsid w:val="4068534F"/>
    <w:rsid w:val="40713C8B"/>
    <w:rsid w:val="40905D53"/>
    <w:rsid w:val="409D0DB3"/>
    <w:rsid w:val="40B95721"/>
    <w:rsid w:val="40C1415E"/>
    <w:rsid w:val="40C6671E"/>
    <w:rsid w:val="40DE6ABE"/>
    <w:rsid w:val="40F24DE0"/>
    <w:rsid w:val="40F30F6F"/>
    <w:rsid w:val="40FB7670"/>
    <w:rsid w:val="41032081"/>
    <w:rsid w:val="41401527"/>
    <w:rsid w:val="415A003E"/>
    <w:rsid w:val="416E7E42"/>
    <w:rsid w:val="41832AD4"/>
    <w:rsid w:val="41913B31"/>
    <w:rsid w:val="41951050"/>
    <w:rsid w:val="41A468BB"/>
    <w:rsid w:val="41D81760"/>
    <w:rsid w:val="41EC520B"/>
    <w:rsid w:val="42235848"/>
    <w:rsid w:val="423900CB"/>
    <w:rsid w:val="42402E61"/>
    <w:rsid w:val="424C5CAA"/>
    <w:rsid w:val="42550656"/>
    <w:rsid w:val="42556129"/>
    <w:rsid w:val="42567FD2"/>
    <w:rsid w:val="426204B3"/>
    <w:rsid w:val="427447C8"/>
    <w:rsid w:val="428611BC"/>
    <w:rsid w:val="42870F07"/>
    <w:rsid w:val="428B67D2"/>
    <w:rsid w:val="42A055CA"/>
    <w:rsid w:val="42AF682B"/>
    <w:rsid w:val="42B22309"/>
    <w:rsid w:val="42C65A5C"/>
    <w:rsid w:val="42E9080A"/>
    <w:rsid w:val="43050073"/>
    <w:rsid w:val="43086156"/>
    <w:rsid w:val="430F11B1"/>
    <w:rsid w:val="431247FD"/>
    <w:rsid w:val="43195B8C"/>
    <w:rsid w:val="4325425D"/>
    <w:rsid w:val="43370708"/>
    <w:rsid w:val="433C5D1E"/>
    <w:rsid w:val="43455072"/>
    <w:rsid w:val="43496A2C"/>
    <w:rsid w:val="435B32ED"/>
    <w:rsid w:val="43607C5E"/>
    <w:rsid w:val="437C5721"/>
    <w:rsid w:val="437E6337"/>
    <w:rsid w:val="438538D4"/>
    <w:rsid w:val="439D0846"/>
    <w:rsid w:val="43AF64F0"/>
    <w:rsid w:val="43E066A9"/>
    <w:rsid w:val="440E70B5"/>
    <w:rsid w:val="4419539C"/>
    <w:rsid w:val="442B65B3"/>
    <w:rsid w:val="44390B29"/>
    <w:rsid w:val="444F0682"/>
    <w:rsid w:val="445D651A"/>
    <w:rsid w:val="4467501D"/>
    <w:rsid w:val="44696303"/>
    <w:rsid w:val="44716930"/>
    <w:rsid w:val="44A771C7"/>
    <w:rsid w:val="44B505E6"/>
    <w:rsid w:val="44B87626"/>
    <w:rsid w:val="44C304A5"/>
    <w:rsid w:val="44CC2B6C"/>
    <w:rsid w:val="44D35F39"/>
    <w:rsid w:val="44E623E5"/>
    <w:rsid w:val="4503583C"/>
    <w:rsid w:val="451149DB"/>
    <w:rsid w:val="45352A25"/>
    <w:rsid w:val="453864EB"/>
    <w:rsid w:val="45577AAE"/>
    <w:rsid w:val="45863414"/>
    <w:rsid w:val="45B1654F"/>
    <w:rsid w:val="45B56DAF"/>
    <w:rsid w:val="45B918A8"/>
    <w:rsid w:val="45D514DB"/>
    <w:rsid w:val="45EB79E8"/>
    <w:rsid w:val="46050649"/>
    <w:rsid w:val="46080139"/>
    <w:rsid w:val="46130FB8"/>
    <w:rsid w:val="46204DEC"/>
    <w:rsid w:val="463D6035"/>
    <w:rsid w:val="465869CB"/>
    <w:rsid w:val="465F5FAB"/>
    <w:rsid w:val="46861596"/>
    <w:rsid w:val="46AE2A8F"/>
    <w:rsid w:val="46D53DA4"/>
    <w:rsid w:val="46DA7FD3"/>
    <w:rsid w:val="46E8262A"/>
    <w:rsid w:val="47183E00"/>
    <w:rsid w:val="473821DE"/>
    <w:rsid w:val="474D674C"/>
    <w:rsid w:val="476615BC"/>
    <w:rsid w:val="476B0980"/>
    <w:rsid w:val="476D294A"/>
    <w:rsid w:val="477B4524"/>
    <w:rsid w:val="478737F3"/>
    <w:rsid w:val="478F7BB8"/>
    <w:rsid w:val="47BC0F52"/>
    <w:rsid w:val="47CB2D1B"/>
    <w:rsid w:val="47DC187E"/>
    <w:rsid w:val="47DD203E"/>
    <w:rsid w:val="47FE3A74"/>
    <w:rsid w:val="48233F7E"/>
    <w:rsid w:val="48311BC9"/>
    <w:rsid w:val="48643D4D"/>
    <w:rsid w:val="486A1C17"/>
    <w:rsid w:val="48711A6F"/>
    <w:rsid w:val="48735D3E"/>
    <w:rsid w:val="48761BF1"/>
    <w:rsid w:val="48AD78AC"/>
    <w:rsid w:val="48C02DE0"/>
    <w:rsid w:val="48DC7D87"/>
    <w:rsid w:val="48E15C4C"/>
    <w:rsid w:val="49064E04"/>
    <w:rsid w:val="49066BB2"/>
    <w:rsid w:val="491004AC"/>
    <w:rsid w:val="491253F3"/>
    <w:rsid w:val="492771C8"/>
    <w:rsid w:val="49285105"/>
    <w:rsid w:val="495F2766"/>
    <w:rsid w:val="49836E07"/>
    <w:rsid w:val="498B70B7"/>
    <w:rsid w:val="49922277"/>
    <w:rsid w:val="499336C4"/>
    <w:rsid w:val="49C23456"/>
    <w:rsid w:val="49CB7EAA"/>
    <w:rsid w:val="49CE0838"/>
    <w:rsid w:val="49E52C6C"/>
    <w:rsid w:val="49EF036D"/>
    <w:rsid w:val="49F36EFC"/>
    <w:rsid w:val="49F6390B"/>
    <w:rsid w:val="4A051F93"/>
    <w:rsid w:val="4A176E3A"/>
    <w:rsid w:val="4A207FFD"/>
    <w:rsid w:val="4A2E2E00"/>
    <w:rsid w:val="4A314103"/>
    <w:rsid w:val="4A586128"/>
    <w:rsid w:val="4A6116E4"/>
    <w:rsid w:val="4A6D03D7"/>
    <w:rsid w:val="4A7E09CA"/>
    <w:rsid w:val="4A9326C8"/>
    <w:rsid w:val="4A982A7D"/>
    <w:rsid w:val="4AA21EB9"/>
    <w:rsid w:val="4AA74FBD"/>
    <w:rsid w:val="4AB368C6"/>
    <w:rsid w:val="4AB62684"/>
    <w:rsid w:val="4ABD5996"/>
    <w:rsid w:val="4ACB30A8"/>
    <w:rsid w:val="4ACC5BD9"/>
    <w:rsid w:val="4AD0538D"/>
    <w:rsid w:val="4AD056CA"/>
    <w:rsid w:val="4AE85A8D"/>
    <w:rsid w:val="4AEC7E9C"/>
    <w:rsid w:val="4AEE78FE"/>
    <w:rsid w:val="4AFD57AB"/>
    <w:rsid w:val="4B1D2428"/>
    <w:rsid w:val="4B47507B"/>
    <w:rsid w:val="4B4B5099"/>
    <w:rsid w:val="4B6E6C91"/>
    <w:rsid w:val="4B7A5635"/>
    <w:rsid w:val="4B8A2A0D"/>
    <w:rsid w:val="4B8D230F"/>
    <w:rsid w:val="4BA45E7D"/>
    <w:rsid w:val="4BAF7821"/>
    <w:rsid w:val="4BE551A5"/>
    <w:rsid w:val="4BEA27BB"/>
    <w:rsid w:val="4BF27BAC"/>
    <w:rsid w:val="4C017B05"/>
    <w:rsid w:val="4C143394"/>
    <w:rsid w:val="4C5B0FC3"/>
    <w:rsid w:val="4C653BF0"/>
    <w:rsid w:val="4C88291A"/>
    <w:rsid w:val="4C96209E"/>
    <w:rsid w:val="4C992733"/>
    <w:rsid w:val="4CB6337F"/>
    <w:rsid w:val="4CC823D1"/>
    <w:rsid w:val="4CEE041C"/>
    <w:rsid w:val="4D1675E0"/>
    <w:rsid w:val="4D2910C1"/>
    <w:rsid w:val="4D297313"/>
    <w:rsid w:val="4D3A1520"/>
    <w:rsid w:val="4D3A32CE"/>
    <w:rsid w:val="4D435132"/>
    <w:rsid w:val="4D442323"/>
    <w:rsid w:val="4D4E6D7A"/>
    <w:rsid w:val="4D88228C"/>
    <w:rsid w:val="4D8E6C2B"/>
    <w:rsid w:val="4D9549A9"/>
    <w:rsid w:val="4D987FF5"/>
    <w:rsid w:val="4D9C7AE5"/>
    <w:rsid w:val="4DA150FB"/>
    <w:rsid w:val="4DB576ED"/>
    <w:rsid w:val="4DDF5C24"/>
    <w:rsid w:val="4DE2784F"/>
    <w:rsid w:val="4DE55B05"/>
    <w:rsid w:val="4DFC4A28"/>
    <w:rsid w:val="4E126821"/>
    <w:rsid w:val="4E2F6BAB"/>
    <w:rsid w:val="4E375A60"/>
    <w:rsid w:val="4E8D742E"/>
    <w:rsid w:val="4EA43137"/>
    <w:rsid w:val="4EBB1578"/>
    <w:rsid w:val="4EDB288F"/>
    <w:rsid w:val="4EE751AC"/>
    <w:rsid w:val="4EF30C32"/>
    <w:rsid w:val="4EF42728"/>
    <w:rsid w:val="4F041DA9"/>
    <w:rsid w:val="4F082F58"/>
    <w:rsid w:val="4F0A0A7E"/>
    <w:rsid w:val="4F0C2A48"/>
    <w:rsid w:val="4F19053D"/>
    <w:rsid w:val="4F2D54AD"/>
    <w:rsid w:val="4F2F47CE"/>
    <w:rsid w:val="4F3A09C3"/>
    <w:rsid w:val="4F461B54"/>
    <w:rsid w:val="4F4E3061"/>
    <w:rsid w:val="4F9D7B44"/>
    <w:rsid w:val="4FA40ED3"/>
    <w:rsid w:val="4FB541B4"/>
    <w:rsid w:val="4FC2556C"/>
    <w:rsid w:val="4FD861FF"/>
    <w:rsid w:val="4FDA05FA"/>
    <w:rsid w:val="4FE87012"/>
    <w:rsid w:val="4FEB4D54"/>
    <w:rsid w:val="4FF260E2"/>
    <w:rsid w:val="502E3F9B"/>
    <w:rsid w:val="503D470B"/>
    <w:rsid w:val="50574197"/>
    <w:rsid w:val="505C0D27"/>
    <w:rsid w:val="5060304C"/>
    <w:rsid w:val="5097436D"/>
    <w:rsid w:val="50AC44E3"/>
    <w:rsid w:val="50B67110"/>
    <w:rsid w:val="50BB0282"/>
    <w:rsid w:val="50F87319"/>
    <w:rsid w:val="51207171"/>
    <w:rsid w:val="51240775"/>
    <w:rsid w:val="514E3C78"/>
    <w:rsid w:val="514E7348"/>
    <w:rsid w:val="51510BE7"/>
    <w:rsid w:val="51932AB0"/>
    <w:rsid w:val="51991632"/>
    <w:rsid w:val="51CA1403"/>
    <w:rsid w:val="51E25CE3"/>
    <w:rsid w:val="51FB5565"/>
    <w:rsid w:val="52097713"/>
    <w:rsid w:val="52101E82"/>
    <w:rsid w:val="527731FF"/>
    <w:rsid w:val="527E262C"/>
    <w:rsid w:val="52974D1F"/>
    <w:rsid w:val="52B00B59"/>
    <w:rsid w:val="52B44B50"/>
    <w:rsid w:val="52B92EE7"/>
    <w:rsid w:val="52F83A10"/>
    <w:rsid w:val="530323B4"/>
    <w:rsid w:val="53093CEF"/>
    <w:rsid w:val="53125328"/>
    <w:rsid w:val="5324596F"/>
    <w:rsid w:val="5325057D"/>
    <w:rsid w:val="533170D5"/>
    <w:rsid w:val="533407C0"/>
    <w:rsid w:val="53395E2A"/>
    <w:rsid w:val="534067C8"/>
    <w:rsid w:val="53444CB9"/>
    <w:rsid w:val="53542C10"/>
    <w:rsid w:val="53877FA0"/>
    <w:rsid w:val="538A2B86"/>
    <w:rsid w:val="539612EC"/>
    <w:rsid w:val="539D6365"/>
    <w:rsid w:val="53AC47FA"/>
    <w:rsid w:val="53BB2F32"/>
    <w:rsid w:val="53CF029B"/>
    <w:rsid w:val="53DC38BE"/>
    <w:rsid w:val="53E11F86"/>
    <w:rsid w:val="5407175D"/>
    <w:rsid w:val="540B32CF"/>
    <w:rsid w:val="540D34EB"/>
    <w:rsid w:val="542323C4"/>
    <w:rsid w:val="54505185"/>
    <w:rsid w:val="54520EFE"/>
    <w:rsid w:val="5463310B"/>
    <w:rsid w:val="546C02A8"/>
    <w:rsid w:val="546F5EAC"/>
    <w:rsid w:val="54911F54"/>
    <w:rsid w:val="54A20CF2"/>
    <w:rsid w:val="54AE470E"/>
    <w:rsid w:val="54AE5675"/>
    <w:rsid w:val="54B93278"/>
    <w:rsid w:val="54E762B6"/>
    <w:rsid w:val="54FA144F"/>
    <w:rsid w:val="5503669C"/>
    <w:rsid w:val="550C0EAB"/>
    <w:rsid w:val="55110DB9"/>
    <w:rsid w:val="5520724E"/>
    <w:rsid w:val="55301EC4"/>
    <w:rsid w:val="55432F3C"/>
    <w:rsid w:val="554F18E1"/>
    <w:rsid w:val="554F368F"/>
    <w:rsid w:val="55564A1D"/>
    <w:rsid w:val="555B0534"/>
    <w:rsid w:val="555E1B24"/>
    <w:rsid w:val="55677749"/>
    <w:rsid w:val="556B49D1"/>
    <w:rsid w:val="5587107B"/>
    <w:rsid w:val="55AC0AE1"/>
    <w:rsid w:val="55B33C1E"/>
    <w:rsid w:val="55B55BE8"/>
    <w:rsid w:val="55BD502A"/>
    <w:rsid w:val="55DB7EE4"/>
    <w:rsid w:val="560E52F8"/>
    <w:rsid w:val="56144388"/>
    <w:rsid w:val="56342911"/>
    <w:rsid w:val="563C39E7"/>
    <w:rsid w:val="563D3E2F"/>
    <w:rsid w:val="56755080"/>
    <w:rsid w:val="568878A6"/>
    <w:rsid w:val="568D0913"/>
    <w:rsid w:val="569F41A2"/>
    <w:rsid w:val="56BE0ACC"/>
    <w:rsid w:val="56EF2A4D"/>
    <w:rsid w:val="56F02C50"/>
    <w:rsid w:val="570D3802"/>
    <w:rsid w:val="573945F7"/>
    <w:rsid w:val="5758166F"/>
    <w:rsid w:val="5760103D"/>
    <w:rsid w:val="57855205"/>
    <w:rsid w:val="57AF4FCD"/>
    <w:rsid w:val="57B327DD"/>
    <w:rsid w:val="58052B87"/>
    <w:rsid w:val="58057578"/>
    <w:rsid w:val="580E15DF"/>
    <w:rsid w:val="58112E7E"/>
    <w:rsid w:val="58247055"/>
    <w:rsid w:val="58403763"/>
    <w:rsid w:val="58490869"/>
    <w:rsid w:val="585A65D3"/>
    <w:rsid w:val="587F24DD"/>
    <w:rsid w:val="588B70D4"/>
    <w:rsid w:val="58931DF3"/>
    <w:rsid w:val="58984614"/>
    <w:rsid w:val="58A106A5"/>
    <w:rsid w:val="58AE2DC2"/>
    <w:rsid w:val="58C06C50"/>
    <w:rsid w:val="58C3061C"/>
    <w:rsid w:val="58C44394"/>
    <w:rsid w:val="58C46142"/>
    <w:rsid w:val="58CB7CCF"/>
    <w:rsid w:val="58D04AE7"/>
    <w:rsid w:val="58DF4D2A"/>
    <w:rsid w:val="58EE3776"/>
    <w:rsid w:val="591F15CA"/>
    <w:rsid w:val="592E180D"/>
    <w:rsid w:val="593A0952"/>
    <w:rsid w:val="59443451"/>
    <w:rsid w:val="59594ADC"/>
    <w:rsid w:val="595B6AA6"/>
    <w:rsid w:val="59663082"/>
    <w:rsid w:val="596671F9"/>
    <w:rsid w:val="5975687F"/>
    <w:rsid w:val="599042AB"/>
    <w:rsid w:val="599806CB"/>
    <w:rsid w:val="59BB5797"/>
    <w:rsid w:val="59E20A6C"/>
    <w:rsid w:val="59F36CDF"/>
    <w:rsid w:val="5A0C1B4F"/>
    <w:rsid w:val="5A24333C"/>
    <w:rsid w:val="5A2A3BC5"/>
    <w:rsid w:val="5A4412E8"/>
    <w:rsid w:val="5A751DEA"/>
    <w:rsid w:val="5A821E11"/>
    <w:rsid w:val="5AAA410D"/>
    <w:rsid w:val="5AAE237A"/>
    <w:rsid w:val="5AC03426"/>
    <w:rsid w:val="5AC4691D"/>
    <w:rsid w:val="5AD54636"/>
    <w:rsid w:val="5AD71291"/>
    <w:rsid w:val="5ADF7263"/>
    <w:rsid w:val="5AE95B94"/>
    <w:rsid w:val="5AFB3374"/>
    <w:rsid w:val="5B0E60D7"/>
    <w:rsid w:val="5B286E5C"/>
    <w:rsid w:val="5B2D6220"/>
    <w:rsid w:val="5B3E042E"/>
    <w:rsid w:val="5B466B83"/>
    <w:rsid w:val="5B6D0D13"/>
    <w:rsid w:val="5B6F6839"/>
    <w:rsid w:val="5B77401A"/>
    <w:rsid w:val="5B77450A"/>
    <w:rsid w:val="5B7E4CCE"/>
    <w:rsid w:val="5B9C059B"/>
    <w:rsid w:val="5BA07268"/>
    <w:rsid w:val="5BBE156E"/>
    <w:rsid w:val="5BCA1CC1"/>
    <w:rsid w:val="5BF5584B"/>
    <w:rsid w:val="5BF60D08"/>
    <w:rsid w:val="5C0246F0"/>
    <w:rsid w:val="5C21178E"/>
    <w:rsid w:val="5C4807A8"/>
    <w:rsid w:val="5C582FA8"/>
    <w:rsid w:val="5C5B0B6B"/>
    <w:rsid w:val="5C6510C1"/>
    <w:rsid w:val="5C82259C"/>
    <w:rsid w:val="5C9820AA"/>
    <w:rsid w:val="5C9978CE"/>
    <w:rsid w:val="5C9E0B1A"/>
    <w:rsid w:val="5CA02A22"/>
    <w:rsid w:val="5CA249EC"/>
    <w:rsid w:val="5CB87D6C"/>
    <w:rsid w:val="5CD77DBF"/>
    <w:rsid w:val="5CE671C0"/>
    <w:rsid w:val="5CE95E77"/>
    <w:rsid w:val="5CF45746"/>
    <w:rsid w:val="5D066D29"/>
    <w:rsid w:val="5D261179"/>
    <w:rsid w:val="5D3D64C3"/>
    <w:rsid w:val="5D415FB3"/>
    <w:rsid w:val="5D45600C"/>
    <w:rsid w:val="5D49149F"/>
    <w:rsid w:val="5D524354"/>
    <w:rsid w:val="5D623C01"/>
    <w:rsid w:val="5D7243BE"/>
    <w:rsid w:val="5D795A4C"/>
    <w:rsid w:val="5D810AA5"/>
    <w:rsid w:val="5D883BE2"/>
    <w:rsid w:val="5D900CE9"/>
    <w:rsid w:val="5D9A3915"/>
    <w:rsid w:val="5D9A56C3"/>
    <w:rsid w:val="5DC33A36"/>
    <w:rsid w:val="5DE54B90"/>
    <w:rsid w:val="5E211941"/>
    <w:rsid w:val="5E214311"/>
    <w:rsid w:val="5E2B3851"/>
    <w:rsid w:val="5E372946"/>
    <w:rsid w:val="5E3B6EA6"/>
    <w:rsid w:val="5E6D4B86"/>
    <w:rsid w:val="5E734892"/>
    <w:rsid w:val="5E853EFB"/>
    <w:rsid w:val="5E8764C2"/>
    <w:rsid w:val="5ECC3FA2"/>
    <w:rsid w:val="5ECC54B0"/>
    <w:rsid w:val="5EEC4FAC"/>
    <w:rsid w:val="5EED3263"/>
    <w:rsid w:val="5EEF00C4"/>
    <w:rsid w:val="5F025C16"/>
    <w:rsid w:val="5F085C03"/>
    <w:rsid w:val="5F3A715E"/>
    <w:rsid w:val="5F3F26CA"/>
    <w:rsid w:val="5F553F98"/>
    <w:rsid w:val="5F6661A5"/>
    <w:rsid w:val="5F697A43"/>
    <w:rsid w:val="5F7A57AC"/>
    <w:rsid w:val="5F8474E0"/>
    <w:rsid w:val="5F8F6006"/>
    <w:rsid w:val="5F906533"/>
    <w:rsid w:val="5F975ACA"/>
    <w:rsid w:val="5FB40CBE"/>
    <w:rsid w:val="5FBC0F20"/>
    <w:rsid w:val="5FC66C44"/>
    <w:rsid w:val="5FE371C0"/>
    <w:rsid w:val="5FF45D93"/>
    <w:rsid w:val="60311BDB"/>
    <w:rsid w:val="60487659"/>
    <w:rsid w:val="605C5DFE"/>
    <w:rsid w:val="60625A7B"/>
    <w:rsid w:val="606326E4"/>
    <w:rsid w:val="6098413C"/>
    <w:rsid w:val="60B1016D"/>
    <w:rsid w:val="60B90BF4"/>
    <w:rsid w:val="60C53543"/>
    <w:rsid w:val="60CF1B28"/>
    <w:rsid w:val="60CF38D6"/>
    <w:rsid w:val="60CF62C3"/>
    <w:rsid w:val="60D64315"/>
    <w:rsid w:val="60EF4F85"/>
    <w:rsid w:val="60F577E0"/>
    <w:rsid w:val="61023CAB"/>
    <w:rsid w:val="61137C66"/>
    <w:rsid w:val="61271964"/>
    <w:rsid w:val="61423A0C"/>
    <w:rsid w:val="61522627"/>
    <w:rsid w:val="61534507"/>
    <w:rsid w:val="615564D1"/>
    <w:rsid w:val="61573FF7"/>
    <w:rsid w:val="61610AB3"/>
    <w:rsid w:val="61741F5E"/>
    <w:rsid w:val="61860438"/>
    <w:rsid w:val="61A44D62"/>
    <w:rsid w:val="61B416FF"/>
    <w:rsid w:val="61D4720A"/>
    <w:rsid w:val="61DA0E83"/>
    <w:rsid w:val="62092E18"/>
    <w:rsid w:val="6223212B"/>
    <w:rsid w:val="622E2899"/>
    <w:rsid w:val="623E0D13"/>
    <w:rsid w:val="62404A8B"/>
    <w:rsid w:val="624352BE"/>
    <w:rsid w:val="62570027"/>
    <w:rsid w:val="626B762E"/>
    <w:rsid w:val="626E2769"/>
    <w:rsid w:val="62882B61"/>
    <w:rsid w:val="6292105F"/>
    <w:rsid w:val="62C57407"/>
    <w:rsid w:val="62C92CD3"/>
    <w:rsid w:val="62DC1EF6"/>
    <w:rsid w:val="62E0630B"/>
    <w:rsid w:val="62F62B88"/>
    <w:rsid w:val="633914DA"/>
    <w:rsid w:val="635211F7"/>
    <w:rsid w:val="63756B4E"/>
    <w:rsid w:val="637B1AF3"/>
    <w:rsid w:val="63A86D8C"/>
    <w:rsid w:val="63BC1807"/>
    <w:rsid w:val="63BC2837"/>
    <w:rsid w:val="63BC4D8D"/>
    <w:rsid w:val="641066DF"/>
    <w:rsid w:val="642F4EB5"/>
    <w:rsid w:val="6454481E"/>
    <w:rsid w:val="645643B4"/>
    <w:rsid w:val="64566C3C"/>
    <w:rsid w:val="645B3DFE"/>
    <w:rsid w:val="647253B7"/>
    <w:rsid w:val="647629E6"/>
    <w:rsid w:val="648F6B3C"/>
    <w:rsid w:val="64922F60"/>
    <w:rsid w:val="64923598"/>
    <w:rsid w:val="64963088"/>
    <w:rsid w:val="64994927"/>
    <w:rsid w:val="649E018F"/>
    <w:rsid w:val="64B41760"/>
    <w:rsid w:val="64C16B8E"/>
    <w:rsid w:val="64D60308"/>
    <w:rsid w:val="64D67E26"/>
    <w:rsid w:val="64E1093E"/>
    <w:rsid w:val="64EB71D9"/>
    <w:rsid w:val="650A6666"/>
    <w:rsid w:val="65593C2E"/>
    <w:rsid w:val="6562740E"/>
    <w:rsid w:val="65717652"/>
    <w:rsid w:val="657D5FF6"/>
    <w:rsid w:val="657F027C"/>
    <w:rsid w:val="659A6BA8"/>
    <w:rsid w:val="65A8241C"/>
    <w:rsid w:val="65AE4402"/>
    <w:rsid w:val="65B66CCF"/>
    <w:rsid w:val="65C43C25"/>
    <w:rsid w:val="65C634F9"/>
    <w:rsid w:val="660877EB"/>
    <w:rsid w:val="660B3602"/>
    <w:rsid w:val="66100C18"/>
    <w:rsid w:val="66123A9A"/>
    <w:rsid w:val="661E0743"/>
    <w:rsid w:val="66212E26"/>
    <w:rsid w:val="662817F5"/>
    <w:rsid w:val="66886A01"/>
    <w:rsid w:val="66927693"/>
    <w:rsid w:val="66974E96"/>
    <w:rsid w:val="66AF0431"/>
    <w:rsid w:val="66D619AA"/>
    <w:rsid w:val="66EA5766"/>
    <w:rsid w:val="66EB13C3"/>
    <w:rsid w:val="66EF63C9"/>
    <w:rsid w:val="67095EBA"/>
    <w:rsid w:val="671F4BE0"/>
    <w:rsid w:val="67222133"/>
    <w:rsid w:val="672A348A"/>
    <w:rsid w:val="673511B6"/>
    <w:rsid w:val="674F19AC"/>
    <w:rsid w:val="67914EF5"/>
    <w:rsid w:val="67982BCB"/>
    <w:rsid w:val="67A61834"/>
    <w:rsid w:val="67B04461"/>
    <w:rsid w:val="67C25F42"/>
    <w:rsid w:val="67C32803"/>
    <w:rsid w:val="67D30150"/>
    <w:rsid w:val="67E1286C"/>
    <w:rsid w:val="67E867F8"/>
    <w:rsid w:val="67EB7247"/>
    <w:rsid w:val="67FC5C42"/>
    <w:rsid w:val="67FE687B"/>
    <w:rsid w:val="68110444"/>
    <w:rsid w:val="681E586F"/>
    <w:rsid w:val="682B3AE8"/>
    <w:rsid w:val="68340D42"/>
    <w:rsid w:val="68440261"/>
    <w:rsid w:val="684C04B5"/>
    <w:rsid w:val="6853303E"/>
    <w:rsid w:val="68646FFA"/>
    <w:rsid w:val="688205FD"/>
    <w:rsid w:val="68886E22"/>
    <w:rsid w:val="68A53868"/>
    <w:rsid w:val="68CA1553"/>
    <w:rsid w:val="68D04B6F"/>
    <w:rsid w:val="68D67EF7"/>
    <w:rsid w:val="68E41A1C"/>
    <w:rsid w:val="68FE4963"/>
    <w:rsid w:val="691E2387"/>
    <w:rsid w:val="69431305"/>
    <w:rsid w:val="694F7CAA"/>
    <w:rsid w:val="69B905E2"/>
    <w:rsid w:val="69C45FA2"/>
    <w:rsid w:val="6A11423A"/>
    <w:rsid w:val="6A175486"/>
    <w:rsid w:val="6A1E78CE"/>
    <w:rsid w:val="6A2E78BF"/>
    <w:rsid w:val="6A7A48B2"/>
    <w:rsid w:val="6A7F636D"/>
    <w:rsid w:val="6A941E18"/>
    <w:rsid w:val="6ABA55F7"/>
    <w:rsid w:val="6AC011F4"/>
    <w:rsid w:val="6AC454F4"/>
    <w:rsid w:val="6AD93CCF"/>
    <w:rsid w:val="6ADB2248"/>
    <w:rsid w:val="6B4820C3"/>
    <w:rsid w:val="6B6E32BA"/>
    <w:rsid w:val="6B7408F7"/>
    <w:rsid w:val="6BA047ED"/>
    <w:rsid w:val="6BA442DD"/>
    <w:rsid w:val="6BA63C64"/>
    <w:rsid w:val="6BAA2B40"/>
    <w:rsid w:val="6BAB5796"/>
    <w:rsid w:val="6BD80F43"/>
    <w:rsid w:val="6BD93BAC"/>
    <w:rsid w:val="6BF012D0"/>
    <w:rsid w:val="6C000715"/>
    <w:rsid w:val="6C0054B0"/>
    <w:rsid w:val="6C021003"/>
    <w:rsid w:val="6C0A7EB8"/>
    <w:rsid w:val="6C1500BA"/>
    <w:rsid w:val="6C1F12B2"/>
    <w:rsid w:val="6C3D203B"/>
    <w:rsid w:val="6C6608C4"/>
    <w:rsid w:val="6C6E0C6F"/>
    <w:rsid w:val="6C8D4D71"/>
    <w:rsid w:val="6CA443F5"/>
    <w:rsid w:val="6CC07BA4"/>
    <w:rsid w:val="6CD56718"/>
    <w:rsid w:val="6CFB7281"/>
    <w:rsid w:val="6D0B213A"/>
    <w:rsid w:val="6D21370B"/>
    <w:rsid w:val="6D2356D5"/>
    <w:rsid w:val="6D2441AF"/>
    <w:rsid w:val="6D2F4DD6"/>
    <w:rsid w:val="6D3E5BF1"/>
    <w:rsid w:val="6D52131F"/>
    <w:rsid w:val="6D576158"/>
    <w:rsid w:val="6D6C2558"/>
    <w:rsid w:val="6D714693"/>
    <w:rsid w:val="6D725D15"/>
    <w:rsid w:val="6D7B2E1B"/>
    <w:rsid w:val="6D7E290C"/>
    <w:rsid w:val="6D877B18"/>
    <w:rsid w:val="6D9D1675"/>
    <w:rsid w:val="6D9F47FA"/>
    <w:rsid w:val="6DB462B5"/>
    <w:rsid w:val="6DB82C58"/>
    <w:rsid w:val="6DC62FCB"/>
    <w:rsid w:val="6DDC6833"/>
    <w:rsid w:val="6DDD7632"/>
    <w:rsid w:val="6DF0510E"/>
    <w:rsid w:val="6DFD1CE9"/>
    <w:rsid w:val="6E1D1846"/>
    <w:rsid w:val="6E241705"/>
    <w:rsid w:val="6E34325F"/>
    <w:rsid w:val="6E40008F"/>
    <w:rsid w:val="6E5C3E96"/>
    <w:rsid w:val="6E5D69C5"/>
    <w:rsid w:val="6E8250B7"/>
    <w:rsid w:val="6E8421A4"/>
    <w:rsid w:val="6EA463A2"/>
    <w:rsid w:val="6EAF1E4B"/>
    <w:rsid w:val="6EB70E84"/>
    <w:rsid w:val="6EBA25CA"/>
    <w:rsid w:val="6F2F0361"/>
    <w:rsid w:val="6F327CFC"/>
    <w:rsid w:val="6F426747"/>
    <w:rsid w:val="6F6D70DC"/>
    <w:rsid w:val="6F817288"/>
    <w:rsid w:val="6F8F7052"/>
    <w:rsid w:val="6FC00FB9"/>
    <w:rsid w:val="6FCB76DD"/>
    <w:rsid w:val="6FE729EA"/>
    <w:rsid w:val="6FEB2C0C"/>
    <w:rsid w:val="6FF60E7F"/>
    <w:rsid w:val="700E61C9"/>
    <w:rsid w:val="70282F5E"/>
    <w:rsid w:val="702C1803"/>
    <w:rsid w:val="704E5DE9"/>
    <w:rsid w:val="70567B70"/>
    <w:rsid w:val="707A385E"/>
    <w:rsid w:val="708A0786"/>
    <w:rsid w:val="70AA3CDC"/>
    <w:rsid w:val="70AB1C6A"/>
    <w:rsid w:val="70AE175A"/>
    <w:rsid w:val="70C64CF5"/>
    <w:rsid w:val="70F25AEA"/>
    <w:rsid w:val="70F87197"/>
    <w:rsid w:val="71023D11"/>
    <w:rsid w:val="7107775A"/>
    <w:rsid w:val="71081E9A"/>
    <w:rsid w:val="711D09AD"/>
    <w:rsid w:val="712F618D"/>
    <w:rsid w:val="71326290"/>
    <w:rsid w:val="7142463B"/>
    <w:rsid w:val="71487748"/>
    <w:rsid w:val="71771B4C"/>
    <w:rsid w:val="71923BB4"/>
    <w:rsid w:val="71973F9C"/>
    <w:rsid w:val="71AA5D8D"/>
    <w:rsid w:val="71C1592F"/>
    <w:rsid w:val="71D67047"/>
    <w:rsid w:val="71FD64F5"/>
    <w:rsid w:val="721455EC"/>
    <w:rsid w:val="721675B7"/>
    <w:rsid w:val="721D0945"/>
    <w:rsid w:val="72587CE8"/>
    <w:rsid w:val="725D3231"/>
    <w:rsid w:val="72710C91"/>
    <w:rsid w:val="727F48E2"/>
    <w:rsid w:val="7285473C"/>
    <w:rsid w:val="728D5B70"/>
    <w:rsid w:val="7298420E"/>
    <w:rsid w:val="72A42E14"/>
    <w:rsid w:val="72BD6962"/>
    <w:rsid w:val="72EB2742"/>
    <w:rsid w:val="72F13B80"/>
    <w:rsid w:val="73467AF6"/>
    <w:rsid w:val="737C7606"/>
    <w:rsid w:val="738844E4"/>
    <w:rsid w:val="73920EBF"/>
    <w:rsid w:val="739537C6"/>
    <w:rsid w:val="73B1673D"/>
    <w:rsid w:val="73B9644B"/>
    <w:rsid w:val="73BE4993"/>
    <w:rsid w:val="73C372CA"/>
    <w:rsid w:val="73C57FF3"/>
    <w:rsid w:val="73CF2D0F"/>
    <w:rsid w:val="73DB0AB8"/>
    <w:rsid w:val="73DC65DE"/>
    <w:rsid w:val="73E13262"/>
    <w:rsid w:val="73F14D93"/>
    <w:rsid w:val="73FC0A2E"/>
    <w:rsid w:val="74035919"/>
    <w:rsid w:val="74063A3A"/>
    <w:rsid w:val="740873D3"/>
    <w:rsid w:val="74235DD7"/>
    <w:rsid w:val="746C1710"/>
    <w:rsid w:val="74720414"/>
    <w:rsid w:val="74771F13"/>
    <w:rsid w:val="747810AE"/>
    <w:rsid w:val="747B5DF7"/>
    <w:rsid w:val="748051BB"/>
    <w:rsid w:val="74813BAE"/>
    <w:rsid w:val="749B1FF5"/>
    <w:rsid w:val="74A80EFC"/>
    <w:rsid w:val="74AA6ACC"/>
    <w:rsid w:val="74B80DF9"/>
    <w:rsid w:val="74C368AF"/>
    <w:rsid w:val="74C50BD3"/>
    <w:rsid w:val="74D078B5"/>
    <w:rsid w:val="74DD0860"/>
    <w:rsid w:val="74E32492"/>
    <w:rsid w:val="74E570C8"/>
    <w:rsid w:val="751B4F72"/>
    <w:rsid w:val="752C0E9F"/>
    <w:rsid w:val="753366D1"/>
    <w:rsid w:val="75477CB2"/>
    <w:rsid w:val="754F701B"/>
    <w:rsid w:val="755C79D6"/>
    <w:rsid w:val="75644ADD"/>
    <w:rsid w:val="756E2B90"/>
    <w:rsid w:val="7590142E"/>
    <w:rsid w:val="7592164A"/>
    <w:rsid w:val="759A6DAD"/>
    <w:rsid w:val="75D61EEC"/>
    <w:rsid w:val="75EA383E"/>
    <w:rsid w:val="75EF52C6"/>
    <w:rsid w:val="75F70324"/>
    <w:rsid w:val="75F93E43"/>
    <w:rsid w:val="761E2C40"/>
    <w:rsid w:val="763258AD"/>
    <w:rsid w:val="764F7696"/>
    <w:rsid w:val="765166E6"/>
    <w:rsid w:val="765406AD"/>
    <w:rsid w:val="76676633"/>
    <w:rsid w:val="768311D0"/>
    <w:rsid w:val="76912270"/>
    <w:rsid w:val="76C27D0D"/>
    <w:rsid w:val="76CE6409"/>
    <w:rsid w:val="76DF08BF"/>
    <w:rsid w:val="76E815A9"/>
    <w:rsid w:val="76FF29EB"/>
    <w:rsid w:val="76FF686B"/>
    <w:rsid w:val="77477141"/>
    <w:rsid w:val="7750356B"/>
    <w:rsid w:val="777A0608"/>
    <w:rsid w:val="77B51620"/>
    <w:rsid w:val="77BF424C"/>
    <w:rsid w:val="77C83101"/>
    <w:rsid w:val="77CC6136"/>
    <w:rsid w:val="77E43CB3"/>
    <w:rsid w:val="77F81E76"/>
    <w:rsid w:val="780236F1"/>
    <w:rsid w:val="78375392"/>
    <w:rsid w:val="783C063B"/>
    <w:rsid w:val="7854038B"/>
    <w:rsid w:val="78574485"/>
    <w:rsid w:val="787119EB"/>
    <w:rsid w:val="788334CC"/>
    <w:rsid w:val="78890305"/>
    <w:rsid w:val="78BF551E"/>
    <w:rsid w:val="78C042C7"/>
    <w:rsid w:val="78F30576"/>
    <w:rsid w:val="78F468F4"/>
    <w:rsid w:val="79084DE7"/>
    <w:rsid w:val="79246A5D"/>
    <w:rsid w:val="793D367B"/>
    <w:rsid w:val="79501600"/>
    <w:rsid w:val="795D2923"/>
    <w:rsid w:val="797A237B"/>
    <w:rsid w:val="798F4AE8"/>
    <w:rsid w:val="799E6CD6"/>
    <w:rsid w:val="79C124FE"/>
    <w:rsid w:val="79C61CE8"/>
    <w:rsid w:val="79CA4005"/>
    <w:rsid w:val="79CB2156"/>
    <w:rsid w:val="79DD6C0C"/>
    <w:rsid w:val="79E92AC0"/>
    <w:rsid w:val="79FB06CA"/>
    <w:rsid w:val="7A080CC3"/>
    <w:rsid w:val="7A122D59"/>
    <w:rsid w:val="7A2F56B9"/>
    <w:rsid w:val="7A37631C"/>
    <w:rsid w:val="7A6B4218"/>
    <w:rsid w:val="7A711C6E"/>
    <w:rsid w:val="7A740B6E"/>
    <w:rsid w:val="7A85352B"/>
    <w:rsid w:val="7A8A28F0"/>
    <w:rsid w:val="7A9B0B21"/>
    <w:rsid w:val="7AAA4D40"/>
    <w:rsid w:val="7ACD6C80"/>
    <w:rsid w:val="7AD7416D"/>
    <w:rsid w:val="7B2E771F"/>
    <w:rsid w:val="7B3F192C"/>
    <w:rsid w:val="7B3F5DCD"/>
    <w:rsid w:val="7B4C1D99"/>
    <w:rsid w:val="7B580C40"/>
    <w:rsid w:val="7B6A2721"/>
    <w:rsid w:val="7B8C2698"/>
    <w:rsid w:val="7BBCDEE8"/>
    <w:rsid w:val="7BD02038"/>
    <w:rsid w:val="7BDA3403"/>
    <w:rsid w:val="7BEA2A26"/>
    <w:rsid w:val="7BEF5DD0"/>
    <w:rsid w:val="7C1508DF"/>
    <w:rsid w:val="7C202E86"/>
    <w:rsid w:val="7C3C5E6C"/>
    <w:rsid w:val="7C3D3992"/>
    <w:rsid w:val="7C46203B"/>
    <w:rsid w:val="7C773348"/>
    <w:rsid w:val="7C7E46D6"/>
    <w:rsid w:val="7C9D4328"/>
    <w:rsid w:val="7CA21B0B"/>
    <w:rsid w:val="7CAE790C"/>
    <w:rsid w:val="7CB1685A"/>
    <w:rsid w:val="7CE24C65"/>
    <w:rsid w:val="7CE6727A"/>
    <w:rsid w:val="7D01762C"/>
    <w:rsid w:val="7D124E1E"/>
    <w:rsid w:val="7D1868D9"/>
    <w:rsid w:val="7D256900"/>
    <w:rsid w:val="7D32101D"/>
    <w:rsid w:val="7D366D5F"/>
    <w:rsid w:val="7D5316BF"/>
    <w:rsid w:val="7D5A7974"/>
    <w:rsid w:val="7D6C09D3"/>
    <w:rsid w:val="7D6C7870"/>
    <w:rsid w:val="7D831878"/>
    <w:rsid w:val="7D852AF3"/>
    <w:rsid w:val="7D8A0CA3"/>
    <w:rsid w:val="7D9A6EB5"/>
    <w:rsid w:val="7DA91513"/>
    <w:rsid w:val="7DB52379"/>
    <w:rsid w:val="7DBB6EEC"/>
    <w:rsid w:val="7DD14C26"/>
    <w:rsid w:val="7DDF7EB0"/>
    <w:rsid w:val="7DE93453"/>
    <w:rsid w:val="7DFC1D56"/>
    <w:rsid w:val="7DFF1847"/>
    <w:rsid w:val="7E024E93"/>
    <w:rsid w:val="7E0B01EB"/>
    <w:rsid w:val="7E12533C"/>
    <w:rsid w:val="7E221EF5"/>
    <w:rsid w:val="7E346A8B"/>
    <w:rsid w:val="7E34791B"/>
    <w:rsid w:val="7E461224"/>
    <w:rsid w:val="7E5A082B"/>
    <w:rsid w:val="7E674570"/>
    <w:rsid w:val="7E694F12"/>
    <w:rsid w:val="7E9D6015"/>
    <w:rsid w:val="7E9F4B02"/>
    <w:rsid w:val="7EA61CC2"/>
    <w:rsid w:val="7EB701D6"/>
    <w:rsid w:val="7EB97618"/>
    <w:rsid w:val="7EC37778"/>
    <w:rsid w:val="7ECB7DD8"/>
    <w:rsid w:val="7ED354B9"/>
    <w:rsid w:val="7EDA196C"/>
    <w:rsid w:val="7EF0431A"/>
    <w:rsid w:val="7F127358"/>
    <w:rsid w:val="7F5B0B7E"/>
    <w:rsid w:val="7F651B7D"/>
    <w:rsid w:val="7F73029C"/>
    <w:rsid w:val="7FC62727"/>
    <w:rsid w:val="7FCC39AA"/>
    <w:rsid w:val="7FCC527A"/>
    <w:rsid w:val="7FDB3191"/>
    <w:rsid w:val="7FE56F23"/>
    <w:rsid w:val="7FF151BF"/>
    <w:rsid w:val="B7AFDB37"/>
    <w:rsid w:val="DDDF83C3"/>
    <w:rsid w:val="DDFA8B3F"/>
    <w:rsid w:val="FDFFB39D"/>
    <w:rsid w:val="FEE91C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3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9"/>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40"/>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41"/>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42"/>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3"/>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4"/>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5"/>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Normal Indent"/>
    <w:basedOn w:val="1"/>
    <w:qFormat/>
    <w:uiPriority w:val="0"/>
    <w:pPr>
      <w:spacing w:after="160" w:line="278" w:lineRule="auto"/>
      <w:ind w:firstLine="420" w:firstLineChars="200"/>
    </w:pPr>
    <w:rPr>
      <w:rFonts w:eastAsia="宋体"/>
      <w:sz w:val="21"/>
    </w:rPr>
  </w:style>
  <w:style w:type="paragraph" w:styleId="12">
    <w:name w:val="annotation text"/>
    <w:basedOn w:val="1"/>
    <w:qFormat/>
    <w:uiPriority w:val="0"/>
    <w:pPr>
      <w:jc w:val="left"/>
    </w:pPr>
  </w:style>
  <w:style w:type="paragraph" w:styleId="13">
    <w:name w:val="Body Text"/>
    <w:basedOn w:val="1"/>
    <w:next w:val="1"/>
    <w:link w:val="58"/>
    <w:unhideWhenUsed/>
    <w:qFormat/>
    <w:uiPriority w:val="0"/>
    <w:pPr>
      <w:spacing w:after="120"/>
    </w:pPr>
  </w:style>
  <w:style w:type="paragraph" w:styleId="14">
    <w:name w:val="Body Text Indent"/>
    <w:basedOn w:val="1"/>
    <w:next w:val="1"/>
    <w:qFormat/>
    <w:uiPriority w:val="0"/>
    <w:pPr>
      <w:spacing w:after="120"/>
      <w:ind w:left="420" w:leftChars="200"/>
    </w:pPr>
  </w:style>
  <w:style w:type="paragraph" w:styleId="15">
    <w:name w:val="Plain Text"/>
    <w:basedOn w:val="1"/>
    <w:next w:val="1"/>
    <w:link w:val="60"/>
    <w:qFormat/>
    <w:uiPriority w:val="0"/>
    <w:pPr>
      <w:spacing w:after="160" w:line="278" w:lineRule="auto"/>
    </w:pPr>
    <w:rPr>
      <w:rFonts w:ascii="宋体" w:hAnsi="宋体" w:eastAsia="宋体"/>
      <w:color w:val="000000"/>
      <w:kern w:val="0"/>
      <w:sz w:val="20"/>
      <w:szCs w:val="21"/>
    </w:rPr>
  </w:style>
  <w:style w:type="paragraph" w:styleId="16">
    <w:name w:val="Balloon Text"/>
    <w:basedOn w:val="1"/>
    <w:link w:val="66"/>
    <w:unhideWhenUsed/>
    <w:qFormat/>
    <w:uiPriority w:val="99"/>
    <w:rPr>
      <w:sz w:val="18"/>
      <w:szCs w:val="18"/>
    </w:rPr>
  </w:style>
  <w:style w:type="paragraph" w:styleId="17">
    <w:name w:val="footer"/>
    <w:basedOn w:val="1"/>
    <w:link w:val="55"/>
    <w:unhideWhenUsed/>
    <w:qFormat/>
    <w:uiPriority w:val="99"/>
    <w:pPr>
      <w:tabs>
        <w:tab w:val="center" w:pos="4153"/>
        <w:tab w:val="right" w:pos="8306"/>
      </w:tabs>
      <w:snapToGrid w:val="0"/>
      <w:jc w:val="left"/>
    </w:pPr>
    <w:rPr>
      <w:sz w:val="18"/>
      <w:szCs w:val="18"/>
    </w:rPr>
  </w:style>
  <w:style w:type="paragraph" w:styleId="18">
    <w:name w:val="header"/>
    <w:basedOn w:val="1"/>
    <w:link w:val="59"/>
    <w:unhideWhenUsed/>
    <w:qFormat/>
    <w:uiPriority w:val="0"/>
    <w:pPr>
      <w:tabs>
        <w:tab w:val="center" w:pos="4153"/>
        <w:tab w:val="right" w:pos="8306"/>
      </w:tabs>
      <w:snapToGrid w:val="0"/>
      <w:jc w:val="center"/>
    </w:pPr>
    <w:rPr>
      <w:sz w:val="18"/>
      <w:szCs w:val="18"/>
    </w:rPr>
  </w:style>
  <w:style w:type="paragraph" w:styleId="19">
    <w:name w:val="toc 1"/>
    <w:basedOn w:val="1"/>
    <w:next w:val="1"/>
    <w:qFormat/>
    <w:uiPriority w:val="0"/>
    <w:pPr>
      <w:widowControl/>
      <w:tabs>
        <w:tab w:val="right" w:leader="dot" w:pos="8636"/>
      </w:tabs>
      <w:snapToGrid w:val="0"/>
      <w:spacing w:beforeLines="100" w:after="100" w:afterAutospacing="1" w:line="340" w:lineRule="exact"/>
    </w:pPr>
    <w:rPr>
      <w:rFonts w:ascii="Calibri" w:hAnsi="Calibri" w:eastAsia="宋体" w:cs="Calibri"/>
      <w:kern w:val="0"/>
      <w:sz w:val="20"/>
      <w:szCs w:val="20"/>
    </w:rPr>
  </w:style>
  <w:style w:type="paragraph" w:styleId="20">
    <w:name w:val="Subtitle"/>
    <w:basedOn w:val="1"/>
    <w:next w:val="1"/>
    <w:link w:val="4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footnote text"/>
    <w:basedOn w:val="1"/>
    <w:link w:val="56"/>
    <w:unhideWhenUsed/>
    <w:qFormat/>
    <w:uiPriority w:val="0"/>
    <w:pPr>
      <w:snapToGrid w:val="0"/>
      <w:jc w:val="left"/>
    </w:pPr>
    <w:rPr>
      <w:sz w:val="18"/>
      <w:szCs w:val="18"/>
    </w:rPr>
  </w:style>
  <w:style w:type="paragraph" w:styleId="22">
    <w:name w:val="table of figures"/>
    <w:basedOn w:val="1"/>
    <w:next w:val="1"/>
    <w:unhideWhenUsed/>
    <w:qFormat/>
    <w:uiPriority w:val="99"/>
    <w:pPr>
      <w:ind w:left="200" w:leftChars="200" w:hanging="200" w:hangingChars="200"/>
    </w:pPr>
  </w:style>
  <w:style w:type="paragraph" w:styleId="23">
    <w:name w:val="toc 2"/>
    <w:basedOn w:val="1"/>
    <w:next w:val="1"/>
    <w:qFormat/>
    <w:uiPriority w:val="0"/>
    <w:pPr>
      <w:spacing w:after="160" w:line="278" w:lineRule="auto"/>
      <w:ind w:left="420" w:leftChars="200"/>
    </w:pPr>
    <w:rPr>
      <w:rFonts w:eastAsia="宋体"/>
      <w:sz w:val="21"/>
    </w:r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25">
    <w:name w:val="Normal (Web)"/>
    <w:basedOn w:val="1"/>
    <w:qFormat/>
    <w:uiPriority w:val="0"/>
    <w:pPr>
      <w:spacing w:beforeAutospacing="1" w:after="100" w:afterAutospacing="1"/>
      <w:jc w:val="left"/>
    </w:pPr>
    <w:rPr>
      <w:rFonts w:eastAsia="宋体"/>
      <w:kern w:val="0"/>
      <w:sz w:val="24"/>
    </w:rPr>
  </w:style>
  <w:style w:type="paragraph" w:styleId="26">
    <w:name w:val="Title"/>
    <w:basedOn w:val="1"/>
    <w:next w:val="1"/>
    <w:link w:val="4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Body Text First Indent 2"/>
    <w:basedOn w:val="14"/>
    <w:next w:val="1"/>
    <w:qFormat/>
    <w:uiPriority w:val="0"/>
    <w:pPr>
      <w:ind w:firstLine="420" w:firstLineChars="200"/>
    </w:pPr>
  </w:style>
  <w:style w:type="table" w:styleId="29">
    <w:name w:val="Table Grid"/>
    <w:basedOn w:val="28"/>
    <w:qFormat/>
    <w:uiPriority w:val="0"/>
    <w:pPr>
      <w:widowControl w:val="0"/>
      <w:spacing w:after="160" w:line="27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bCs/>
    </w:rPr>
  </w:style>
  <w:style w:type="character" w:styleId="32">
    <w:name w:val="Emphasis"/>
    <w:basedOn w:val="30"/>
    <w:qFormat/>
    <w:uiPriority w:val="20"/>
    <w:rPr>
      <w:i/>
    </w:rPr>
  </w:style>
  <w:style w:type="character" w:styleId="33">
    <w:name w:val="Hyperlink"/>
    <w:basedOn w:val="30"/>
    <w:unhideWhenUsed/>
    <w:qFormat/>
    <w:uiPriority w:val="99"/>
    <w:rPr>
      <w:color w:val="0000FF"/>
      <w:u w:val="single"/>
    </w:rPr>
  </w:style>
  <w:style w:type="character" w:styleId="34">
    <w:name w:val="footnote reference"/>
    <w:basedOn w:val="30"/>
    <w:unhideWhenUsed/>
    <w:qFormat/>
    <w:uiPriority w:val="0"/>
    <w:rPr>
      <w:vertAlign w:val="superscript"/>
    </w:rPr>
  </w:style>
  <w:style w:type="paragraph" w:customStyle="1" w:styleId="35">
    <w:name w:val="表目录"/>
    <w:basedOn w:val="1"/>
    <w:qFormat/>
    <w:uiPriority w:val="0"/>
    <w:pPr>
      <w:spacing w:line="560" w:lineRule="exact"/>
      <w:jc w:val="center"/>
    </w:pPr>
    <w:rPr>
      <w:rFonts w:eastAsia="黑体"/>
      <w:sz w:val="28"/>
      <w:szCs w:val="28"/>
    </w:rPr>
  </w:style>
  <w:style w:type="paragraph" w:customStyle="1" w:styleId="36">
    <w:name w:val="专栏目录"/>
    <w:basedOn w:val="1"/>
    <w:qFormat/>
    <w:uiPriority w:val="0"/>
    <w:pPr>
      <w:adjustRightInd w:val="0"/>
      <w:snapToGrid w:val="0"/>
      <w:spacing w:line="380" w:lineRule="exact"/>
      <w:jc w:val="center"/>
    </w:pPr>
    <w:rPr>
      <w:rFonts w:hint="eastAsia" w:eastAsia="黑体"/>
      <w:bCs/>
      <w:kern w:val="0"/>
      <w:sz w:val="28"/>
      <w:szCs w:val="28"/>
    </w:rPr>
  </w:style>
  <w:style w:type="character" w:customStyle="1" w:styleId="37">
    <w:name w:val="标题 1 字符"/>
    <w:basedOn w:val="30"/>
    <w:link w:val="2"/>
    <w:qFormat/>
    <w:uiPriority w:val="9"/>
    <w:rPr>
      <w:rFonts w:asciiTheme="majorHAnsi" w:hAnsiTheme="majorHAnsi" w:eastAsiaTheme="majorEastAsia" w:cstheme="majorBidi"/>
      <w:color w:val="104862" w:themeColor="accent1" w:themeShade="BF"/>
      <w:sz w:val="48"/>
      <w:szCs w:val="48"/>
    </w:rPr>
  </w:style>
  <w:style w:type="character" w:customStyle="1" w:styleId="38">
    <w:name w:val="标题 2 字符"/>
    <w:basedOn w:val="3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9">
    <w:name w:val="标题 3 字符"/>
    <w:basedOn w:val="3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40">
    <w:name w:val="标题 4 字符"/>
    <w:basedOn w:val="30"/>
    <w:link w:val="5"/>
    <w:semiHidden/>
    <w:qFormat/>
    <w:uiPriority w:val="9"/>
    <w:rPr>
      <w:rFonts w:cstheme="majorBidi"/>
      <w:color w:val="104862" w:themeColor="accent1" w:themeShade="BF"/>
      <w:sz w:val="28"/>
      <w:szCs w:val="28"/>
    </w:rPr>
  </w:style>
  <w:style w:type="character" w:customStyle="1" w:styleId="41">
    <w:name w:val="标题 5 字符"/>
    <w:basedOn w:val="30"/>
    <w:link w:val="6"/>
    <w:semiHidden/>
    <w:qFormat/>
    <w:uiPriority w:val="9"/>
    <w:rPr>
      <w:rFonts w:cstheme="majorBidi"/>
      <w:color w:val="104862" w:themeColor="accent1" w:themeShade="BF"/>
      <w:sz w:val="24"/>
      <w:szCs w:val="24"/>
    </w:rPr>
  </w:style>
  <w:style w:type="character" w:customStyle="1" w:styleId="42">
    <w:name w:val="标题 6 字符"/>
    <w:basedOn w:val="30"/>
    <w:link w:val="7"/>
    <w:semiHidden/>
    <w:qFormat/>
    <w:uiPriority w:val="9"/>
    <w:rPr>
      <w:rFonts w:cstheme="majorBidi"/>
      <w:b/>
      <w:bCs/>
      <w:color w:val="104862" w:themeColor="accent1" w:themeShade="BF"/>
    </w:rPr>
  </w:style>
  <w:style w:type="character" w:customStyle="1" w:styleId="43">
    <w:name w:val="标题 7 字符"/>
    <w:basedOn w:val="3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4">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5">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6">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47">
    <w:name w:val="副标题 字符"/>
    <w:basedOn w:val="30"/>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48">
    <w:name w:val="Quote"/>
    <w:basedOn w:val="1"/>
    <w:next w:val="1"/>
    <w:link w:val="4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30"/>
    <w:link w:val="48"/>
    <w:qFormat/>
    <w:uiPriority w:val="29"/>
    <w:rPr>
      <w:i/>
      <w:iCs/>
      <w:color w:val="404040" w:themeColor="text1" w:themeTint="BF"/>
      <w14:textFill>
        <w14:solidFill>
          <w14:schemeClr w14:val="tx1">
            <w14:lumMod w14:val="75000"/>
            <w14:lumOff w14:val="25000"/>
          </w14:schemeClr>
        </w14:solidFill>
      </w14:textFill>
    </w:rPr>
  </w:style>
  <w:style w:type="paragraph" w:customStyle="1" w:styleId="50">
    <w:name w:val="List Paragraph"/>
    <w:basedOn w:val="1"/>
    <w:qFormat/>
    <w:uiPriority w:val="34"/>
    <w:pPr>
      <w:ind w:left="720"/>
      <w:contextualSpacing/>
    </w:pPr>
  </w:style>
  <w:style w:type="character" w:customStyle="1" w:styleId="51">
    <w:name w:val="明显强调1"/>
    <w:basedOn w:val="30"/>
    <w:qFormat/>
    <w:uiPriority w:val="21"/>
    <w:rPr>
      <w:i/>
      <w:iCs/>
      <w:color w:val="104862" w:themeColor="accent1" w:themeShade="BF"/>
    </w:rPr>
  </w:style>
  <w:style w:type="paragraph" w:customStyle="1" w:styleId="52">
    <w:name w:val="Intense Quote"/>
    <w:basedOn w:val="1"/>
    <w:next w:val="1"/>
    <w:link w:val="5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3">
    <w:name w:val="明显引用 字符"/>
    <w:basedOn w:val="30"/>
    <w:link w:val="52"/>
    <w:qFormat/>
    <w:uiPriority w:val="30"/>
    <w:rPr>
      <w:i/>
      <w:iCs/>
      <w:color w:val="104862" w:themeColor="accent1" w:themeShade="BF"/>
    </w:rPr>
  </w:style>
  <w:style w:type="character" w:customStyle="1" w:styleId="54">
    <w:name w:val="明显参考1"/>
    <w:basedOn w:val="30"/>
    <w:qFormat/>
    <w:uiPriority w:val="32"/>
    <w:rPr>
      <w:b/>
      <w:bCs/>
      <w:smallCaps/>
      <w:color w:val="104862" w:themeColor="accent1" w:themeShade="BF"/>
      <w:spacing w:val="5"/>
    </w:rPr>
  </w:style>
  <w:style w:type="character" w:customStyle="1" w:styleId="55">
    <w:name w:val="页脚 字符"/>
    <w:basedOn w:val="30"/>
    <w:link w:val="17"/>
    <w:qFormat/>
    <w:uiPriority w:val="99"/>
    <w:rPr>
      <w:sz w:val="18"/>
      <w:szCs w:val="18"/>
    </w:rPr>
  </w:style>
  <w:style w:type="character" w:customStyle="1" w:styleId="56">
    <w:name w:val="脚注文本 字符"/>
    <w:basedOn w:val="30"/>
    <w:link w:val="21"/>
    <w:qFormat/>
    <w:uiPriority w:val="99"/>
    <w:rPr>
      <w:sz w:val="18"/>
      <w:szCs w:val="18"/>
    </w:rPr>
  </w:style>
  <w:style w:type="paragraph" w:customStyle="1" w:styleId="57">
    <w:name w:val="样式 样式 四号 行距: 固定值 25 磅 + 首行缩进:  2 字符"/>
    <w:qFormat/>
    <w:uiPriority w:val="99"/>
    <w:pPr>
      <w:widowControl w:val="0"/>
      <w:spacing w:line="500" w:lineRule="atLeast"/>
      <w:ind w:firstLine="560" w:firstLineChars="200"/>
      <w:jc w:val="both"/>
    </w:pPr>
    <w:rPr>
      <w:rFonts w:ascii="Times New Roman" w:hAnsi="Times New Roman" w:eastAsia="宋体" w:cs="Times New Roman"/>
      <w:kern w:val="2"/>
      <w:sz w:val="28"/>
      <w:szCs w:val="28"/>
      <w:lang w:val="en-US" w:eastAsia="zh-CN" w:bidi="ar-SA"/>
    </w:rPr>
  </w:style>
  <w:style w:type="character" w:customStyle="1" w:styleId="58">
    <w:name w:val="正文文本 字符"/>
    <w:basedOn w:val="30"/>
    <w:link w:val="13"/>
    <w:qFormat/>
    <w:uiPriority w:val="99"/>
    <w:rPr>
      <w:rFonts w:ascii="Times New Roman" w:hAnsi="Times New Roman" w:eastAsia="仿宋_GB2312" w:cs="Times New Roman"/>
      <w:sz w:val="32"/>
      <w:szCs w:val="24"/>
    </w:rPr>
  </w:style>
  <w:style w:type="character" w:customStyle="1" w:styleId="59">
    <w:name w:val="页眉 字符"/>
    <w:basedOn w:val="30"/>
    <w:link w:val="18"/>
    <w:qFormat/>
    <w:uiPriority w:val="99"/>
    <w:rPr>
      <w:rFonts w:ascii="Times New Roman" w:hAnsi="Times New Roman" w:eastAsia="仿宋_GB2312" w:cs="Times New Roman"/>
      <w:sz w:val="18"/>
      <w:szCs w:val="18"/>
    </w:rPr>
  </w:style>
  <w:style w:type="character" w:customStyle="1" w:styleId="60">
    <w:name w:val="纯文本 字符"/>
    <w:basedOn w:val="30"/>
    <w:link w:val="15"/>
    <w:qFormat/>
    <w:uiPriority w:val="0"/>
    <w:rPr>
      <w:rFonts w:ascii="宋体" w:hAnsi="宋体" w:eastAsia="宋体" w:cs="Times New Roman"/>
      <w:color w:val="000000"/>
      <w:kern w:val="0"/>
      <w:sz w:val="20"/>
      <w:szCs w:val="21"/>
    </w:rPr>
  </w:style>
  <w:style w:type="character" w:customStyle="1" w:styleId="61">
    <w:name w:val="font01"/>
    <w:basedOn w:val="30"/>
    <w:qFormat/>
    <w:uiPriority w:val="0"/>
    <w:rPr>
      <w:rFonts w:hint="eastAsia" w:ascii="宋体" w:hAnsi="宋体" w:eastAsia="宋体" w:cs="宋体"/>
      <w:color w:val="000000"/>
      <w:sz w:val="24"/>
      <w:szCs w:val="24"/>
      <w:u w:val="none"/>
    </w:rPr>
  </w:style>
  <w:style w:type="character" w:customStyle="1" w:styleId="62">
    <w:name w:val="font11"/>
    <w:basedOn w:val="30"/>
    <w:qFormat/>
    <w:uiPriority w:val="0"/>
    <w:rPr>
      <w:rFonts w:hint="default" w:ascii="Times New Roman" w:hAnsi="Times New Roman" w:cs="Times New Roman"/>
      <w:color w:val="000000"/>
      <w:sz w:val="24"/>
      <w:szCs w:val="24"/>
      <w:u w:val="none"/>
    </w:rPr>
  </w:style>
  <w:style w:type="paragraph" w:customStyle="1" w:styleId="63">
    <w:name w:val="UserStyle_0"/>
    <w:basedOn w:val="1"/>
    <w:next w:val="1"/>
    <w:qFormat/>
    <w:uiPriority w:val="0"/>
    <w:pPr>
      <w:widowControl/>
      <w:spacing w:after="160" w:line="278" w:lineRule="auto"/>
      <w:jc w:val="left"/>
    </w:pPr>
    <w:rPr>
      <w:rFonts w:ascii="Calibri" w:hAnsi="Calibri" w:eastAsia="宋体"/>
      <w:color w:val="000000"/>
      <w:kern w:val="0"/>
      <w:sz w:val="24"/>
    </w:rPr>
  </w:style>
  <w:style w:type="paragraph" w:customStyle="1" w:styleId="64">
    <w:name w:val="修订1"/>
    <w:hidden/>
    <w:unhideWhenUsed/>
    <w:qFormat/>
    <w:uiPriority w:val="99"/>
    <w:rPr>
      <w:rFonts w:ascii="Times New Roman" w:hAnsi="Times New Roman" w:eastAsia="仿宋_GB2312" w:cs="Times New Roman"/>
      <w:kern w:val="2"/>
      <w:sz w:val="32"/>
      <w:szCs w:val="24"/>
      <w:lang w:val="en-US" w:eastAsia="zh-CN" w:bidi="ar-SA"/>
    </w:rPr>
  </w:style>
  <w:style w:type="paragraph" w:customStyle="1" w:styleId="65">
    <w:name w:val="修订2"/>
    <w:hidden/>
    <w:unhideWhenUsed/>
    <w:qFormat/>
    <w:uiPriority w:val="99"/>
    <w:rPr>
      <w:rFonts w:ascii="Times New Roman" w:hAnsi="Times New Roman" w:eastAsia="仿宋_GB2312" w:cs="Times New Roman"/>
      <w:kern w:val="2"/>
      <w:sz w:val="32"/>
      <w:szCs w:val="24"/>
      <w:lang w:val="en-US" w:eastAsia="zh-CN" w:bidi="ar-SA"/>
    </w:rPr>
  </w:style>
  <w:style w:type="character" w:customStyle="1" w:styleId="66">
    <w:name w:val="批注框文本 字符"/>
    <w:basedOn w:val="30"/>
    <w:link w:val="16"/>
    <w:semiHidden/>
    <w:qFormat/>
    <w:uiPriority w:val="99"/>
    <w:rPr>
      <w:rFonts w:eastAsia="仿宋_GB2312"/>
      <w:kern w:val="2"/>
      <w:sz w:val="18"/>
      <w:szCs w:val="18"/>
    </w:rPr>
  </w:style>
  <w:style w:type="character" w:customStyle="1" w:styleId="67">
    <w:name w:val="15"/>
    <w:basedOn w:val="30"/>
    <w:qFormat/>
    <w:uiPriority w:val="0"/>
    <w:rPr>
      <w:rFonts w:hint="default" w:ascii="Times New Roman" w:hAnsi="Times New Roman" w:cs="Times New Roman"/>
    </w:rPr>
  </w:style>
  <w:style w:type="paragraph" w:customStyle="1" w:styleId="68">
    <w:name w:val="TOC 标题3"/>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color w:val="104862" w:themeColor="accent1" w:themeShade="BF"/>
      <w:kern w:val="0"/>
      <w:sz w:val="32"/>
      <w:szCs w:val="32"/>
    </w:rPr>
  </w:style>
  <w:style w:type="paragraph" w:customStyle="1" w:styleId="69">
    <w:name w:val="BodyText"/>
    <w:basedOn w:val="1"/>
    <w:qFormat/>
    <w:uiPriority w:val="0"/>
    <w:pPr>
      <w:suppressAutoHyphens/>
      <w:spacing w:after="120" w:line="240" w:lineRule="auto"/>
      <w:textAlignment w:val="baseline"/>
    </w:pPr>
    <w:rPr>
      <w:rFonts w:ascii="仿宋_GB2312" w:hAnsi="Tahoma" w:eastAsia="仿宋_GB2312"/>
      <w:kern w:val="0"/>
      <w:sz w:val="32"/>
    </w:rPr>
  </w:style>
  <w:style w:type="paragraph" w:customStyle="1" w:styleId="70">
    <w:name w:val="CHY-正文"/>
    <w:qFormat/>
    <w:uiPriority w:val="3"/>
    <w:pPr>
      <w:ind w:firstLine="632" w:firstLineChars="200"/>
    </w:pPr>
    <w:rPr>
      <w:rFonts w:ascii="仿宋_GB2312" w:hAnsi="宋体" w:eastAsia="仿宋_GB2312" w:cstheme="minorBidi"/>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fc534eb9-18d3-40c2-b790-64c47d0ee1a7</errorID>
      <errorWord>金融支撑实体经济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词汇“金融服务实体经济”在特定场景下为固定表述形式，请确认此处的“金融支撑实体经济”是否存在不当。</explain>
      <paraID> 7D3760F</paraID>
      <start>2</start>
      <end>10</end>
      <status>unmodified</status>
      <modifiedWord/>
      <trackRevisions>false</trackRevisions>
    </reviewItem>
    <reviewItem>
      <errorID>7e9930f1-a3a7-4008-8915-33280509db00</errorID>
      <errorWord>给力</errorWord>
      <group>L1_Official</group>
      <groupName>公文问题</groupName>
      <ability>L2_Official</ability>
      <abilityName>公文问题</abilityName>
      <candidateList/>
      <explain>公文中禁止出现该词语</explain>
      <paraID>5101B6C5</paraID>
      <start>253</start>
      <end>255</end>
      <status>unmodified</status>
      <modifiedWord/>
      <trackRevisions>false</trackRevisions>
    </reviewItem>
    <reviewItem>
      <errorID>53564894-69e6-4ed5-ba0c-ea91e133e3b1</errorID>
      <errorWord>给力</errorWord>
      <group>L1_Official</group>
      <groupName>公文问题</groupName>
      <ability>L2_Official</ability>
      <abilityName>公文问题</abilityName>
      <candidateList/>
      <explain>公文中禁止出现该词语</explain>
      <paraID>77CFBD6F</paraID>
      <start>190</start>
      <end>192</end>
      <status>unmodified</status>
      <modifiedWord/>
      <trackRevisions>false</trackRevisions>
    </reviewItem>
    <reviewItem>
      <errorID>ddea1b20-1b05-40c4-b5a8-5c001a4d256e</errorID>
      <errorWord>非诉纠纷解决机制</errorWord>
      <group>L1_Political</group>
      <groupName>政治性问题</groupName>
      <ability>L2_Keyword</ability>
      <abilityName>固定表述</abilityName>
      <candidateList>
        <item>非诉讼纠纷解决机制</item>
      </candidateList>
      <explain>词汇“非诉讼纠纷解决机制”在特定场景下为固定表述形式，请确认此处的“非诉纠纷解决机制”是否存在不当。</explain>
      <paraID>3D47F8DF</paraID>
      <start>202</start>
      <end>210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04123-8bd0-4827-9c0a-9766465aa258}">
  <ds:schemaRefs/>
</ds:datastoreItem>
</file>

<file path=docProps/app.xml><?xml version="1.0" encoding="utf-8"?>
<Properties xmlns="http://schemas.openxmlformats.org/officeDocument/2006/extended-properties" xmlns:vt="http://schemas.openxmlformats.org/officeDocument/2006/docPropsVTypes">
  <Pages>48</Pages>
  <Words>39</Words>
  <Characters>42</Characters>
  <Lines>185</Lines>
  <Paragraphs>52</Paragraphs>
  <TotalTime>26</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2025-05-21T05:09:00Z</dcterms:created>
  <dc:creator>Z Darcy</dc:creator>
  <cp:lastModifiedBy>HEBO.晴天</cp:lastModifiedBy>
  <cp:lastPrinted>2026-05-21T08:47:00Z</cp:lastPrinted>
  <dcterms:modified xsi:type="dcterms:W3CDTF">2026-10-26T09:21:43Z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eyJoZGlkIjoiMjg1NDZjMzhlMGRkYTRlNTdiY2NmMTYwNTk5MTcyODIiLCJ1c2VySWQiOiI2NjExNzEyNDcifQ==</vt:lpwstr>
  </property>
  <property fmtid="{D5CDD505-2E9C-101B-9397-08002B2CF9AE}" pid="3" name="KSOProductBuildVer">
    <vt:lpwstr>2052-12.1.0.29161</vt:lpwstr>
  </property>
  <property fmtid="{D5CDD505-2E9C-101B-9397-08002B2CF9AE}" pid="4" name="ICV">
    <vt:lpwstr>DC7E860C934E4AC1B5D568A21BF6B308_13</vt:lpwstr>
  </property>
</Properties>
</file>